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left"/>
        <w:textAlignment w:val="auto"/>
        <w:outlineLvl w:val="0"/>
        <w:rPr>
          <w:rFonts w:hint="default" w:ascii="仿宋" w:hAnsi="仿宋" w:eastAsia="仿宋" w:cs="仿宋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center"/>
        <w:textAlignment w:val="auto"/>
        <w:outlineLvl w:val="0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项目概况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上饶市妇幼保健院是一所承担全市妇女儿童医疗、保健、科研、教学、计划生育技术指导任务的 “三级甲等妇幼保健院”，是国家卫健委、世界卫生组织和联合国儿童基金会命名的“爱婴医院”。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坐落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于上饶市行政新区，上饶大道55号，占地面积50亩，总建筑面积5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1992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平方米。依照市政府关于医院建设遵循“总体规划、分步实施”的指示精神，医院建设分两期实施。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期一段项目工程建筑面积29982平方米（其中地上建筑面积25732.87平方米，地下建筑面积4249.15平方米，绿地面积3276.77平方米），含妇幼保健门诊楼、儿童门诊楼、医技楼、住院大楼以及附属用房，设置床位247张，开放床位170张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于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2020年3月正式投入使用。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期二段项目总用地面积2324.38平方米，总建筑面积21940.28平方米（其中地上建筑面积18372.56平方米，地下建筑面积3567.72平方米，绿地面积4811.86平方米），设计为地上十层及地下一层，本项目主要功能为产科大楼及医学影像中心，设置床位275张（含9张ICU病床），配建机动车位167个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于2022年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月投入使用。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辅助生殖分院坐落于中山路38号，建筑面积4935平方米，下设临床部、胚胎实验室、检验科、药房等部门；设置床位数21张；填补了全市体外受精－胚胎移植（一代试管婴儿技术）和卵胞浆内单精子注射技术（二代试管婴儿技术）等生殖技术空白，为我市及周边地市育龄妇女提供高品质的生殖健康服务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目前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医院下设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妇科、产科、围产保健科、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宫颈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科、盆底科、乳腺甲状腺科、骨科、儿内科、儿外科、新生儿科、儿童保健科、中医科、麻醉科、新生儿疾病筛查中心、产前筛查和诊断中心、门诊部、急诊科、产房等临床科室及辅助生殖分院；检验科、B超室、四维筛查室、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脑）电图室、影像科、手术室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消毒供应中心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门诊注射室、客服中心等辅助科室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近年来，医院不断提升医疗水平，创新管理机制，加强内涵建设，使医院进入健康发展的轨道。医院全体职工将继续秉承“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为妇女儿童身心健康提供医疗与保健服务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”的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宗旨，以“厚德精业、幸福妇幼”的愿景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建设现代化、高品质三级甲等妇幼保健院。       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（二）采购项目预（概）算</w:t>
      </w:r>
    </w:p>
    <w:p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总预算：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约人民币4896157.50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/年，9792315.00元/两年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服务范围及内容：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1、秩序维护服务：实行二十四小时值班制，包括门卫值班；来访来人登记；消控室值班；物业管理区域内巡逻；消防器材的巡查；交通疏导；车辆秩序等服务。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2、卫生保洁服务：日常卫生保洁，包括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病区、诊室、卫生间、地下室、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地面、楼道、天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等清扫保洁；设施清抹；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医疗垃圾和生活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垃圾收集外运。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3、绿化养护服务：日常绿植养护，包括施肥、病虫害防治、修剪、浇水、枯枝杂草清理等。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物资运送服务：包括药品、标本、设备、单据等运送。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二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服务要求标准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参照市财务局《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物业管理服务采购范本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结合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实际情况拟定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详见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《具体物业管理服务标准》。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人员需求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738"/>
        <w:gridCol w:w="2174"/>
        <w:gridCol w:w="2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配置人数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保洁员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运送员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绿化员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ind w:left="0" w:firstLine="0" w:firstLineChars="0"/>
        <w:rPr>
          <w:rFonts w:hint="eastAsia"/>
        </w:rPr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19"/>
        <w:gridCol w:w="1868"/>
        <w:gridCol w:w="1715"/>
        <w:gridCol w:w="3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负责全院物业的统筹安排落实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9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tbl>
      <w:tblPr>
        <w:tblStyle w:val="7"/>
        <w:tblpPr w:leftFromText="180" w:rightFromText="180" w:vertAnchor="text" w:horzAnchor="page" w:tblpX="1810" w:tblpY="483"/>
        <w:tblOverlap w:val="never"/>
        <w:tblW w:w="500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756"/>
        <w:gridCol w:w="922"/>
        <w:gridCol w:w="1154"/>
        <w:gridCol w:w="1796"/>
        <w:gridCol w:w="2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门诊保洁员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面积（㎡)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门诊大厅、儿科、急诊科、发热门诊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2779.26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A班6:00-14:00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B班14:00-22:00；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C班22:00-6:00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儿童保健科、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B超室、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妇科、宫颈科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2779.26</w:t>
            </w:r>
          </w:p>
        </w:tc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 14:00-17:00</w:t>
            </w:r>
          </w:p>
        </w:tc>
        <w:tc>
          <w:tcPr>
            <w:tcW w:w="12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儿童保健科、中医科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2779.26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 14:00-17:00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替休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 14:00-17:00</w:t>
            </w: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上六休一 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8337.78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ind w:left="0" w:firstLine="0" w:firstLineChars="0"/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66"/>
        <w:gridCol w:w="1137"/>
        <w:gridCol w:w="1142"/>
        <w:gridCol w:w="1766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儿科大楼保洁员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(㎡)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住院部大厅、检验、供应室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1343.67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信息科、PCR实验室、筛查中心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1343.67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综合科护理单元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1343.67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儿内科五病区护理单元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1343.67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儿内科三病区护理单元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1343.67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儿内科二病区护理单元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1343.67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儿内科一病区护理单元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1343.67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新生儿科护理单元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1343.67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6:00-14:00；14:00-22:00；</w:t>
            </w:r>
          </w:p>
        </w:tc>
        <w:tc>
          <w:tcPr>
            <w:tcW w:w="128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6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产房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1343.67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6:00-14:00；14:00-22:00；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1343.67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A班6:00-14:00；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B班14:00-22:00；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替休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上六休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一顶岗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4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66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13436.7</w:t>
            </w:r>
          </w:p>
        </w:tc>
        <w:tc>
          <w:tcPr>
            <w:tcW w:w="6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ind w:left="0" w:firstLine="0" w:firstLineChars="0"/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715"/>
        <w:gridCol w:w="1125"/>
        <w:gridCol w:w="1152"/>
        <w:gridCol w:w="1750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产科大楼保洁员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(㎡)</w:t>
            </w:r>
          </w:p>
        </w:tc>
        <w:tc>
          <w:tcPr>
            <w:tcW w:w="6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10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2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6:30-1:30   14:00-17:00</w:t>
            </w:r>
          </w:p>
        </w:tc>
        <w:tc>
          <w:tcPr>
            <w:tcW w:w="12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围产保健科、产科、乳腺科门诊、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12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产科VIP门诊、孕妇学校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 ； 14:00-17:00</w:t>
            </w:r>
          </w:p>
        </w:tc>
        <w:tc>
          <w:tcPr>
            <w:tcW w:w="12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妇科护理单元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 ； 14:00-17:00</w:t>
            </w:r>
          </w:p>
        </w:tc>
        <w:tc>
          <w:tcPr>
            <w:tcW w:w="12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产科一病区护理单元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 ； 14:00-17:00</w:t>
            </w:r>
          </w:p>
        </w:tc>
        <w:tc>
          <w:tcPr>
            <w:tcW w:w="129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VIP服务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二层3人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产科二病区护理单元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 ； 14:00-17:00</w:t>
            </w:r>
          </w:p>
        </w:tc>
        <w:tc>
          <w:tcPr>
            <w:tcW w:w="129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产科三病区护理单元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6:30-11:30 ； 14:00-17:00</w:t>
            </w:r>
          </w:p>
        </w:tc>
        <w:tc>
          <w:tcPr>
            <w:tcW w:w="129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VIP服务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二层3人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产科四病区护理单元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6:30-11:30 ； 14:00-17:00</w:t>
            </w:r>
          </w:p>
        </w:tc>
        <w:tc>
          <w:tcPr>
            <w:tcW w:w="129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产房、手术室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6:30-11:30 ； 14:00-17:00</w:t>
            </w:r>
          </w:p>
        </w:tc>
        <w:tc>
          <w:tcPr>
            <w:tcW w:w="12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十楼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1837.3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6:00-14:00； 14:00-22:00；</w:t>
            </w:r>
          </w:p>
        </w:tc>
        <w:tc>
          <w:tcPr>
            <w:tcW w:w="12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替休</w:t>
            </w:r>
          </w:p>
        </w:tc>
        <w:tc>
          <w:tcPr>
            <w:tcW w:w="6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 14:00-17:00</w:t>
            </w:r>
          </w:p>
        </w:tc>
        <w:tc>
          <w:tcPr>
            <w:tcW w:w="12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上六休 一顶岗（兼综合楼和专项保洁岗顶班）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4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6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ind w:left="0" w:firstLine="0" w:firstLineChars="0"/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703"/>
        <w:gridCol w:w="1140"/>
        <w:gridCol w:w="1139"/>
        <w:gridCol w:w="1767"/>
        <w:gridCol w:w="2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综合楼保洁员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(㎡)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综合1楼、 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楼、 4楼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988.4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专项保洁员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(㎡)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外围环境、停车场、地下停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车场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21900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机洗地面、出风口、刮洗玻璃、不锈钢保养、标识牌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所有大楼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仓管员、洗衣房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所有大楼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14:00- 17:00</w:t>
            </w: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tbl>
      <w:tblPr>
        <w:tblStyle w:val="7"/>
        <w:tblpPr w:leftFromText="180" w:rightFromText="180" w:vertAnchor="text" w:horzAnchor="page" w:tblpX="1780" w:tblpY="431"/>
        <w:tblOverlap w:val="never"/>
        <w:tblW w:w="50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57"/>
        <w:gridCol w:w="2013"/>
        <w:gridCol w:w="1753"/>
        <w:gridCol w:w="3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中心调度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A班7:00-15:00；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B班15:00-23:00；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C班23:00-7:00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循环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A班7:00-15:00 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B班8:00-17:00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即时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A班7:00-15:00 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B班8:00-17:00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送药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A班7:00-15:30；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B班9:00-17:00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送检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A班7:30-12:00 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B班13:30-17:00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小夜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16:00-24:00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大夜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23:00-7:00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垃圾收运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6:30-10:30；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13:30- 17:30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每天清运二次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替休</w:t>
            </w:r>
          </w:p>
        </w:tc>
        <w:tc>
          <w:tcPr>
            <w:tcW w:w="1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上六休一顶岗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2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ind w:left="0" w:firstLine="0" w:firstLineChars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0" w:firstLineChars="0"/>
      </w:pPr>
    </w:p>
    <w:p>
      <w:pPr>
        <w:pStyle w:val="3"/>
      </w:pPr>
    </w:p>
    <w:p>
      <w:pPr>
        <w:pStyle w:val="3"/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31"/>
        <w:gridCol w:w="1773"/>
        <w:gridCol w:w="1462"/>
        <w:gridCol w:w="3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 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消控室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A班8:00-16:00；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B班16:00-24:00；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 班24:00-8:00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岗亭、门岗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A班8:00-16:00；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B班16:00-24:00；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 班24:00-8:00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停车场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A班8:00-16:00；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B班16:00-24:00；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 班24:00-8:00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发热门诊和急诊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A班8:00-16:00；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B班16:00-24:00；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 班24:00-8:00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巡逻岗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A班8:00-16:00；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B班16:00-24:00；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 班24:00-8:00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替休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上六休一 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小计：</w:t>
            </w:r>
          </w:p>
        </w:tc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ind w:left="0" w:firstLine="0" w:firstLineChars="0"/>
      </w:pP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13"/>
        <w:gridCol w:w="1706"/>
        <w:gridCol w:w="1527"/>
        <w:gridCol w:w="2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 层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 位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</w:t>
            </w:r>
          </w:p>
        </w:tc>
        <w:tc>
          <w:tcPr>
            <w:tcW w:w="1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养草、浇水、修剪，总院面积8088平米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3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60" w:lineRule="exact"/>
        <w:ind w:left="0" w:firstLine="0" w:firstLineChars="0"/>
      </w:pPr>
    </w:p>
    <w:tbl>
      <w:tblPr>
        <w:tblStyle w:val="7"/>
        <w:tblW w:w="5032" w:type="pct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36"/>
        <w:gridCol w:w="995"/>
        <w:gridCol w:w="1937"/>
        <w:gridCol w:w="1079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分院人员配置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面积（㎡)</w:t>
            </w:r>
          </w:p>
        </w:tc>
        <w:tc>
          <w:tcPr>
            <w:tcW w:w="11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一楼保洁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二楼保洁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11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三－四楼保洁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保安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门岗</w:t>
            </w:r>
          </w:p>
        </w:tc>
        <w:tc>
          <w:tcPr>
            <w:tcW w:w="11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A班8:00-16:00          B班16:00-24:00；              C班24:00-8:00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运送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5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绿化工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6:30-11:30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绿化面积约800平米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3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58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2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1.物业公司按《中华人民共和国劳动合同法》等国家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法律法规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以及相关政策，与员工签订劳动合同，依法依规全员缴纳社保（含养老、医疗、工伤、生育、失业）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；年龄要求：保洁员男性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60周岁、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女性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50周岁，保安员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男性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55周岁，运送员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50周岁，绿化员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55周岁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2.人员人均月均实发工资不得低于上饶市最低工资标准。人员工资待遇费用，包括项目所有服务人员基本工资、绩效考核、社会保险费、福利费、节假日按国家规定标准发放的加班费、服装费、食宿费等。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3.以上人员所需的工具、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耗品、办公用品、劳保用品、保安用品等由物业公司提供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详见附件2《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拟投入的设备和工具清单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）服务期限：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服务期限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）付款方式：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按月支付。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每个月月初根据上个月考核情况支付上个月物业服务管理费用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）服务考核办法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参照市财务局《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物业管理服务采购范本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结合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实际情况拟定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详见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物业服务监督管理考核评价办法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》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：具体物业管理服务标准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、秩序维护服务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1、业务上接受采购方和公安机关的指导；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2、实行24小时秩序管理，人防、技防相结合，监控、巡视巡更、值班相配合，确保无漏岗、脱岗、睡岗等失职现象；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3、在危险区、安全隐患区或事故易发区设置警示标志，并采取切实可行的安全防范措施；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4、有针对性地提供突发事件的安全保卫服务，措施得力，制度健全、人员到位，编制切实可行的如“被盗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”“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妨碍公务”等突发事件的应急预案及措施。特别是要建立处理上访事件的应急方案。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5、根据采购方要求对出入人员、车辆进行登记；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6、各出入道口及外围无聚众、阻塞、叫卖等现象；区域内不得出现推销及广告品散发现象；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7、确保有序的工作环境；环境秩序良好；做好安全防范、日常巡视和夜间巡更工作，及时发现和处理各种安全和事故隐患，迅速有效处置突发事件；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8、有重大活动、接待或会议时，须按采购方要求增加适当的安全保卫人员。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9、按照采购方要求和实际需要设置好管制物品、标识标牌，以及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配置通信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、执勤等工具用品。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10、道路通畅，路面相关设施完整，交通标识规范完好；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11、停车场管理制度完善，人员配备合理，无乱停乱放和阻塞现象，车辆停放有序；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、卫生保洁服务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1、建立环境卫生管理制度并认真落实，环卫设施设置合理、完备，垃圾日产日清；跟踪保洁；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2、建筑外墙、屋面、室外场地、道路、地下室等保持清洁无积尘，无纸屑、树叶、烟头等杂物；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室内保洁责任区域的办公室、会议室、接待室、功能室、楼梯、走道、大堂、室内公共区域及开水间、卫生间，做到顶面、墙面、地面等清洁无尘印，无蜘蛛网、无积水；室内设施表面、门窗等无灰尘；定期灭鼠、消杀除虫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4、大理石、花岗岩定期打蜡养护；地毯定期会吸尘、清洗、擦拭，随时保洁，确保随时可以使用；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5、室内外金属护栏、把手和电梯轿厢定期擦拭保养，确保无锈迹、污渍、汗渍；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6、电梯轿厢中的地毯要求每天更换一次。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7、照明灯、牌匾、宣传栏牢固、安全、美观、整洁，无乱贴乱画现象；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8、公共玻璃门、窗、玻璃隔断保持无污迹、灰尘；玻璃幕墙根据需要清洗；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9、单位专用停车场地面和管道、设施表面清洁无积水、积尘，顶面、墙面无灰尘和蜘蛛网；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10、保证楼层卫生间的用纸和洗手液摆放；卫生间无明显异味，随时保持便池的清洁卫生；便池、水池、下水道畅通。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、绿化养护服务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1、根据植物生长习性、种植环境等因素进行科学养护。包括光照管理、温度管理、水分管理、土壤管理、施肥管理、修剪整形、病虫害防治等；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2、落实公共绿地、花坛、树木养护措施，修剪、更换及时，无破坏、践踏、无虫害、枯死及随意占用现象；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3、绿地、花坛、树丛无杂草、纸屑、枯死树叶、烟头等杂物；室内盆栽阔叶植物叶面无灰尘、盆内无纸屑、烟头；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4、积极协助配合室内绿植租摆养护的相关工作；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、物资运送服务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1、药品运送：药库和病房间大输液、酒精等运送以及班外时间各临床科室临时取药，取血。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2、标本运送：各科室的血液、尿、粪、病理等标本；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3、物资运送：各种医用设备（除大中型设备外）、办公设备的运送。贵重设备的运送需医护人员跟随。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4、单据运送：住院病人检查报告单、手术通知单、预约单等文件表单运送等。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textAlignment w:val="auto"/>
        <w:outlineLvl w:val="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5、每日还需完成分院与总院的物资运输，平均每日一趟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拟投入的设备和工具清单</w:t>
      </w:r>
    </w:p>
    <w:tbl>
      <w:tblPr>
        <w:tblStyle w:val="7"/>
        <w:tblpPr w:leftFromText="180" w:rightFromText="180" w:vertAnchor="page" w:horzAnchor="page" w:tblpX="1723" w:tblpY="2299"/>
        <w:tblOverlap w:val="never"/>
        <w:tblW w:w="8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5174"/>
        <w:gridCol w:w="773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设备名称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清洁手推车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手推式电瓶洗地机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水箱容量45/56L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驾乘式洗地机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（水容量130/140L）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三速地坪/地毯吹干机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（钢风轮）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绿帽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高压水枪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垃圾车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带盖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大号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部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工业洗脱机（≥15公斤）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烘干机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≥15公斤）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拖把杆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把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超细纤维布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片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超细纤维桶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小心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地滑牌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湿拖杆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把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吸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机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背式真空吸尘器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加重型石面处理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17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双格桶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毛巾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条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扫把套装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把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设备名称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吸水拖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/海绵拖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电动割草机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电动绿篱机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对讲机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防暴头盔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橡胶警棍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根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盾牌/钢叉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防割手套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双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防刺服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生活垃圾袋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扎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各种清洁剂、光亮剂、消毒剂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洗手液（500g）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7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174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商务生活用纸（700g）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卷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80" w:firstLineChars="20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olor w:val="C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C00000"/>
          <w:kern w:val="0"/>
          <w:sz w:val="28"/>
          <w:szCs w:val="28"/>
          <w:u w:val="none"/>
          <w:lang w:val="en-US" w:eastAsia="zh-CN" w:bidi="ar"/>
        </w:rPr>
        <w:t>备注：参询供应商应承诺按照附件1中要求的人员和岗位拟派并提供承诺函加盖公章，以及承诺按照附件2中要求的工具清单投入本项目并提供承诺函。所投报价中应充分考虑该成本，否则参询供应商报价将不计入评审报价计算。</w:t>
      </w: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物业管理服务监督管理考核评价办法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第一条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为加强物业管理服务工作的监管考核，规范物业管理服务行为，提高服务质量，根据国家、省、市物业管理有关法律法规，以及物业服务采购文件、合同的要求和约定，结合工作实际，制定本办法。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第二条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本办法考核由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院方职能科室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牵头组织实施，对物业服务监管做到“五每”，即“每日巡查，每周覆盖，每月打分，每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季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测评，每年评价”。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第三条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监督考核工作遵守以下基本原则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1.公开、公平、公正的原则；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2.相互尊重、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协商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、利于服务的原则；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3.实事求是、有奖有罚、奖惩有据的原则。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第四条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月度考核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1.月度考核实行打分制，由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在每月底对照本办法附件《物业服务考核细则》，对物业公司当月提供的服务进行打分，总分100分。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2.月度考核范围。包括管理区域范围内的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安保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服务、卫生保洁服务、绿化养护服务等，每个项目满分均为100分，按权重折算后记为当月考核分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扣完为止。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3.考核以日常巡查和月度抽查相结合的方式进行，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对巡查和抽查中发现的问题，以及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院方各科室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或人员的投诉等，予以登记，纳入月度考核评分。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4.6.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院方各科室和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人员可按照本办法，对物业公司的服务情况进行全程监督，如发现问题及时向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反馈。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发现问题或接到投诉，向物业公司发出《整改通知书》，物业公司应在规定时间内整改到位，未按期整改到位予以相应扣分。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第五条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测评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每季度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组织各相关科室单位对物业公司的物业服务满意度进行评测，满分100分，取平均值记为该次满意度测评分。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第六条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奖惩机制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1.月度考核得分与物业服务费挂钩：</w:t>
      </w:r>
    </w:p>
    <w:tbl>
      <w:tblPr>
        <w:tblStyle w:val="7"/>
        <w:tblW w:w="458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5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58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62" w:firstLineChars="200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月度考核得分</w:t>
            </w:r>
          </w:p>
        </w:tc>
        <w:tc>
          <w:tcPr>
            <w:tcW w:w="334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62" w:firstLineChars="200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当月物业费用支付标准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考核分≥8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34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全额支付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≤考核分＜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334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扣除当月物业服务费的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%，并进行通报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≤考核分＜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75</w:t>
            </w:r>
          </w:p>
        </w:tc>
        <w:tc>
          <w:tcPr>
            <w:tcW w:w="3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扣除当月物业服务费的5%，并进行通报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考核分＜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3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扣除当月物业服务费的10%，并进行通报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考核分连续两个月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85</w:t>
            </w:r>
          </w:p>
        </w:tc>
        <w:tc>
          <w:tcPr>
            <w:tcW w:w="3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第二个月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扣除当月物业服务费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10%，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并进行通报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6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考核分连续两个月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＜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70</w:t>
            </w:r>
          </w:p>
        </w:tc>
        <w:tc>
          <w:tcPr>
            <w:tcW w:w="3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firstLine="0" w:firstLine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第二个月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扣除当月物业服务费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15%，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并进行通报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书面警告无效的，院方有权解除合同</w:t>
            </w:r>
          </w:p>
        </w:tc>
      </w:tr>
    </w:tbl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.《物业服务考核细则》中设置部分加分项内容，对物业员工获得市级及以上荣誉，提出合理化建议，拾金不昧、见义勇为、助人为乐等事迹，以及物业公司支持协助采购单位合同范围以外的工作等情形，予以相应加分奖励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季度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满意度评测建立通报和约谈机制：</w:t>
      </w:r>
    </w:p>
    <w:tbl>
      <w:tblPr>
        <w:tblStyle w:val="7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4"/>
        <w:gridCol w:w="5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1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62" w:firstLineChars="200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满意度评测得分</w:t>
            </w:r>
          </w:p>
        </w:tc>
        <w:tc>
          <w:tcPr>
            <w:tcW w:w="2984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62" w:firstLineChars="200"/>
              <w:jc w:val="left"/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对应措施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1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60" w:firstLineChars="200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70≤得分＜8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9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60" w:firstLineChars="200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约谈项目经理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5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60" w:firstLineChars="200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得分＜70</w:t>
            </w:r>
          </w:p>
        </w:tc>
        <w:tc>
          <w:tcPr>
            <w:tcW w:w="29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0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560" w:firstLineChars="200"/>
              <w:jc w:val="left"/>
              <w:outlineLvl w:val="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约谈公司负责人</w:t>
            </w:r>
          </w:p>
        </w:tc>
      </w:tr>
    </w:tbl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36" w:firstLineChars="200"/>
        <w:jc w:val="left"/>
        <w:outlineLvl w:val="0"/>
        <w:rPr>
          <w:rFonts w:hint="eastAsia" w:ascii="仿宋" w:hAnsi="仿宋" w:eastAsia="仿宋" w:cs="仿宋"/>
          <w:color w:val="auto"/>
          <w:spacing w:val="-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highlight w:val="none"/>
        </w:rPr>
        <w:t>4.年度考核：该年度月平均分低于60分的，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highlight w:val="none"/>
          <w:lang w:val="en-US" w:eastAsia="zh-CN"/>
        </w:rPr>
        <w:t>院方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highlight w:val="none"/>
        </w:rPr>
        <w:t>有权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highlight w:val="none"/>
          <w:lang w:val="en-US" w:eastAsia="zh-CN"/>
        </w:rPr>
        <w:t>解除合同，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highlight w:val="none"/>
        </w:rPr>
        <w:t>并上报财政部门。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5.物业管理服务项目在年度内获得市级及以上荣誉时，年度评分予以相应加分奖励，获得市级荣誉加1分，省级加2分，国家级加3分。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6.如出现以下情形之一，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有权提前终止合同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并追究物业公司相关责任：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（1）发生火灾事故，经消防部门认定负重大责任的情形；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（2）组织高空作业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或其他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施工操作，出现重大人员伤亡事故，并造成群访、舆情事件等不良社会影响的情形；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（3）因工作人员操作失误或管理疏漏，造成水电、消防系统等重大设备严重故障，造成重大财产损失，致使正常生活或工作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受到严重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影响；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（4）工作人员泄密并造成严重后果，工作期间出现涉及刑事犯罪等情形；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（5）年度考核不及格的；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（6）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其他被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相关部门认定的严重责任事故或违法违规造成的严重后果。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第七条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附则</w:t>
      </w:r>
    </w:p>
    <w:p>
      <w:pPr>
        <w:keepNext w:val="0"/>
        <w:keepLines w:val="0"/>
        <w:pageBreakBefore w:val="0"/>
        <w:tabs>
          <w:tab w:val="left" w:pos="1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0" w:firstLineChars="200"/>
        <w:jc w:val="left"/>
        <w:outlineLvl w:val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1.本办法未详尽描述的事宜，由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院方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与物业公司协商处理。本办法中无相应说明的内容，以国家有关部门最新颁布的相应标准及规范为准。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964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jNhM2M3NTI3NzFjMmU4YzhlNTcyM2JmMjYzNmQifQ=="/>
  </w:docVars>
  <w:rsids>
    <w:rsidRoot w:val="7B237A42"/>
    <w:rsid w:val="0D315D9A"/>
    <w:rsid w:val="0F0676E7"/>
    <w:rsid w:val="144708D7"/>
    <w:rsid w:val="298E5FD2"/>
    <w:rsid w:val="3B8F5CA8"/>
    <w:rsid w:val="3C8F21DE"/>
    <w:rsid w:val="42FA709C"/>
    <w:rsid w:val="4B9A057B"/>
    <w:rsid w:val="52D418F5"/>
    <w:rsid w:val="54CE7666"/>
    <w:rsid w:val="735E66FE"/>
    <w:rsid w:val="7B2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2023-11-23T09:55:00Z</dcterms:created>
  <dc:creator>薄荷</dc:creator>
  <cp:lastModifiedBy>Full Moon。</cp:lastModifiedBy>
  <cp:lastPrinted>2023-11-27T01:38:00Z</cp:lastPrinted>
  <dcterms:modified xsi:type="dcterms:W3CDTF">2023-11-27T07:56:46Z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01D4376D3329430386CEDCF4FFA31C41_13</vt:lpwstr>
  </property>
</Properties>
</file>