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365BAA">
      <w:pPr>
        <w:rPr>
          <w:rFonts w:hint="default"/>
          <w:lang w:val="en-US" w:eastAsia="zh-CN"/>
        </w:rPr>
      </w:pPr>
      <w:r>
        <w:rPr>
          <w:rFonts w:hint="eastAsia"/>
          <w:lang w:val="en-US" w:eastAsia="zh-CN"/>
        </w:rPr>
        <w:t>附件2：</w:t>
      </w:r>
    </w:p>
    <w:p w14:paraId="22706571">
      <w:pPr>
        <w:rPr>
          <w:rFonts w:hint="default"/>
          <w:lang w:val="en-US" w:eastAsia="zh-CN"/>
        </w:rPr>
      </w:pPr>
      <w:r>
        <w:rPr>
          <w:rFonts w:hint="default"/>
          <w:lang w:val="en-US" w:eastAsia="zh-CN"/>
        </w:rPr>
        <w:t>1.竞价人须在电子卖场上传附件文件中要求提供的资料，未上传的按无效报价处理。</w:t>
      </w:r>
    </w:p>
    <w:p w14:paraId="05AA0FEA">
      <w:pPr>
        <w:rPr>
          <w:rFonts w:hint="default"/>
          <w:lang w:val="en-US" w:eastAsia="zh-CN"/>
        </w:rPr>
      </w:pPr>
      <w:r>
        <w:rPr>
          <w:rFonts w:hint="default"/>
          <w:lang w:val="en-US" w:eastAsia="zh-CN"/>
        </w:rPr>
        <w:t>2.在报价时须在电子卖场上传具有 CMA或CNAS认证标识的检测（验）报告扫描件（或复印件）</w:t>
      </w:r>
      <w:r>
        <w:rPr>
          <w:rFonts w:hint="eastAsia"/>
          <w:lang w:val="en-US" w:eastAsia="zh-CN"/>
        </w:rPr>
        <w:t>并</w:t>
      </w:r>
      <w:r>
        <w:rPr>
          <w:rFonts w:hint="default"/>
          <w:lang w:val="en-US" w:eastAsia="zh-CN"/>
        </w:rPr>
        <w:t>加盖供应商公章佐证</w:t>
      </w:r>
      <w:r>
        <w:rPr>
          <w:rFonts w:hint="eastAsia"/>
          <w:lang w:val="en-US" w:eastAsia="zh-CN"/>
        </w:rPr>
        <w:t>，同时系统软件也要</w:t>
      </w:r>
      <w:r>
        <w:rPr>
          <w:rFonts w:hint="default"/>
          <w:lang w:val="en-US" w:eastAsia="zh-CN"/>
        </w:rPr>
        <w:t>提供软件功能截图并提供官网链接加盖供应商公章佐证，</w:t>
      </w:r>
      <w:bookmarkStart w:id="0" w:name="_GoBack"/>
      <w:bookmarkEnd w:id="0"/>
      <w:r>
        <w:rPr>
          <w:rFonts w:hint="default"/>
          <w:lang w:val="en-US" w:eastAsia="zh-CN"/>
        </w:rPr>
        <w:t>未提供或不符合要求作无效报价。</w:t>
      </w:r>
    </w:p>
    <w:p w14:paraId="0DE8C343">
      <w:pPr>
        <w:rPr>
          <w:rFonts w:hint="default"/>
          <w:lang w:val="en-US" w:eastAsia="zh-CN"/>
        </w:rPr>
      </w:pPr>
      <w:r>
        <w:rPr>
          <w:rFonts w:hint="default"/>
          <w:lang w:val="en-US" w:eastAsia="zh-CN"/>
        </w:rPr>
        <w:t>3.签订合同前预成交供应商须提供一体机针对附件文件中的技术参数条款进行逐条演示，不能提供实物样机产品演示的，或测试结果达不到附件文件要求的，将被取消中标资格且上报至同级财政监管部门，并追究其以虚假谋取中标的法律责任。</w:t>
      </w:r>
    </w:p>
    <w:p w14:paraId="699196EC">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441FF5"/>
    <w:rsid w:val="7F441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2025-09-28T02:10:00Z</dcterms:created>
  <dc:creator>冯超</dc:creator>
  <cp:lastModifiedBy>冯超</cp:lastModifiedBy>
  <dcterms:modified xsi:type="dcterms:W3CDTF">2025-09-28T02:17:17Z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42D9060842364C6CBE5022AEEB5E9EDD_11</vt:lpwstr>
  </property>
  <property fmtid="{D5CDD505-2E9C-101B-9397-08002B2CF9AE}" pid="4" name="KSOTemplateDocerSaveRecord">
    <vt:lpwstr>eyJoZGlkIjoiZjI4MmQ1MWU4NjZlZGQyMTBjZDNkNDY1NjdlMjQ2NmUiLCJ1c2VySWQiOiIxNTgxOTEyOTkzIn0=</vt:lpwstr>
  </property>
</Properties>
</file>