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4DCDD">
      <w:pPr>
        <w:pStyle w:val="3"/>
        <w:spacing w:before="156" w:after="156"/>
        <w:rPr>
          <w:rFonts w:hint="eastAsia"/>
          <w:color w:val="000000" w:themeColor="text1"/>
          <w14:textFill>
            <w14:solidFill>
              <w14:schemeClr w14:val="tx1"/>
            </w14:solidFill>
          </w14:textFill>
        </w:rPr>
      </w:pPr>
      <w:bookmarkStart w:id="0" w:name="_Toc220508428"/>
      <w:r>
        <w:rPr>
          <w:rFonts w:hint="eastAsia"/>
          <w:color w:val="000000" w:themeColor="text1"/>
          <w14:textFill>
            <w14:solidFill>
              <w14:schemeClr w14:val="tx1"/>
            </w14:solidFill>
          </w14:textFill>
        </w:rPr>
        <w:t>采购需求</w:t>
      </w:r>
      <w:bookmarkEnd w:id="0"/>
    </w:p>
    <w:p w14:paraId="7719B212">
      <w:pPr>
        <w:pStyle w:val="2"/>
        <w:spacing w:after="156"/>
        <w:ind w:left="442" w:hanging="442"/>
        <w:rPr>
          <w:rFonts w:hint="eastAsia"/>
          <w:color w:val="000000" w:themeColor="text1"/>
          <w14:textFill>
            <w14:solidFill>
              <w14:schemeClr w14:val="tx1"/>
            </w14:solidFill>
          </w14:textFill>
        </w:rPr>
      </w:pPr>
      <w:bookmarkStart w:id="1" w:name="_Toc220508429"/>
      <w:r>
        <w:rPr>
          <w:rFonts w:hint="eastAsia"/>
          <w:color w:val="000000" w:themeColor="text1"/>
          <w14:textFill>
            <w14:solidFill>
              <w14:schemeClr w14:val="tx1"/>
            </w14:solidFill>
          </w14:textFill>
        </w:rPr>
        <w:t>一、采购需求一览表</w:t>
      </w:r>
      <w:bookmarkEnd w:id="1"/>
    </w:p>
    <w:tbl>
      <w:tblPr>
        <w:tblStyle w:val="7"/>
        <w:tblpPr w:leftFromText="180" w:rightFromText="180" w:vertAnchor="text" w:tblpY="1"/>
        <w:tblOverlap w:val="never"/>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6487"/>
      </w:tblGrid>
      <w:tr w14:paraId="4F2C2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7" w:hRule="atLeast"/>
        </w:trPr>
        <w:tc>
          <w:tcPr>
            <w:tcW w:w="2835" w:type="dxa"/>
            <w:tcBorders>
              <w:top w:val="single" w:color="auto" w:sz="12" w:space="0"/>
              <w:left w:val="single" w:color="auto" w:sz="12" w:space="0"/>
            </w:tcBorders>
            <w:vAlign w:val="center"/>
          </w:tcPr>
          <w:p w14:paraId="2FD147B0">
            <w:pPr>
              <w:spacing w:line="360" w:lineRule="auto"/>
              <w:ind w:left="440" w:hanging="440"/>
              <w:jc w:val="center"/>
              <w:textAlignment w:val="center"/>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项目名称</w:t>
            </w:r>
          </w:p>
        </w:tc>
        <w:tc>
          <w:tcPr>
            <w:tcW w:w="6487" w:type="dxa"/>
            <w:tcBorders>
              <w:top w:val="single" w:color="auto" w:sz="12" w:space="0"/>
              <w:right w:val="single" w:color="auto" w:sz="12" w:space="0"/>
            </w:tcBorders>
            <w:vAlign w:val="center"/>
          </w:tcPr>
          <w:p w14:paraId="0AB7FB30">
            <w:pPr>
              <w:ind w:left="440" w:hanging="440"/>
              <w:jc w:val="center"/>
              <w:textAlignment w:val="center"/>
              <w:rPr>
                <w:rFonts w:hint="eastAsia" w:ascii="宋体" w:hAnsi="宋体"/>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上饶市妇幼保健院洗涤服务采购项目（</w:t>
            </w:r>
            <w:r>
              <w:rPr>
                <w:rFonts w:hint="eastAsia" w:ascii="宋体" w:hAnsi="宋体"/>
                <w:bCs/>
                <w:color w:val="000000" w:themeColor="text1"/>
                <w:lang w:eastAsia="zh-CN"/>
                <w14:textFill>
                  <w14:solidFill>
                    <w14:schemeClr w14:val="tx1"/>
                  </w14:solidFill>
                </w14:textFill>
              </w:rPr>
              <w:t>第</w:t>
            </w:r>
            <w:r>
              <w:rPr>
                <w:rFonts w:hint="eastAsia" w:ascii="宋体" w:hAnsi="宋体"/>
                <w:bCs/>
                <w:color w:val="000000" w:themeColor="text1"/>
                <w:lang w:val="en-US" w:eastAsia="zh-CN"/>
                <w14:textFill>
                  <w14:solidFill>
                    <w14:schemeClr w14:val="tx1"/>
                  </w14:solidFill>
                </w14:textFill>
              </w:rPr>
              <w:t>四</w:t>
            </w:r>
            <w:r>
              <w:rPr>
                <w:rFonts w:hint="eastAsia" w:ascii="宋体" w:hAnsi="宋体"/>
                <w:bCs/>
                <w:color w:val="000000" w:themeColor="text1"/>
                <w:lang w:eastAsia="zh-CN"/>
                <w14:textFill>
                  <w14:solidFill>
                    <w14:schemeClr w14:val="tx1"/>
                  </w14:solidFill>
                </w14:textFill>
              </w:rPr>
              <w:t>次</w:t>
            </w:r>
            <w:r>
              <w:rPr>
                <w:rFonts w:hint="eastAsia" w:ascii="宋体" w:hAnsi="宋体"/>
                <w:bCs/>
                <w:color w:val="000000" w:themeColor="text1"/>
                <w14:textFill>
                  <w14:solidFill>
                    <w14:schemeClr w14:val="tx1"/>
                  </w14:solidFill>
                </w14:textFill>
              </w:rPr>
              <w:t>）</w:t>
            </w:r>
            <w:bookmarkStart w:id="5" w:name="_GoBack"/>
            <w:bookmarkEnd w:id="5"/>
          </w:p>
        </w:tc>
      </w:tr>
      <w:tr w14:paraId="3E709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2" w:hRule="atLeast"/>
        </w:trPr>
        <w:tc>
          <w:tcPr>
            <w:tcW w:w="2835" w:type="dxa"/>
            <w:tcBorders>
              <w:left w:val="single" w:color="auto" w:sz="12" w:space="0"/>
            </w:tcBorders>
            <w:vAlign w:val="center"/>
          </w:tcPr>
          <w:p w14:paraId="6C1B461D">
            <w:pPr>
              <w:spacing w:line="900" w:lineRule="exact"/>
              <w:ind w:left="440" w:hanging="440"/>
              <w:jc w:val="center"/>
              <w:textAlignment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数量</w:t>
            </w:r>
          </w:p>
        </w:tc>
        <w:tc>
          <w:tcPr>
            <w:tcW w:w="6487" w:type="dxa"/>
            <w:tcBorders>
              <w:right w:val="single" w:color="auto" w:sz="12" w:space="0"/>
            </w:tcBorders>
            <w:vAlign w:val="center"/>
          </w:tcPr>
          <w:p w14:paraId="6D5DB188">
            <w:pPr>
              <w:ind w:left="440" w:hanging="440"/>
              <w:jc w:val="center"/>
              <w:textAlignment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1项</w:t>
            </w:r>
          </w:p>
        </w:tc>
      </w:tr>
      <w:tr w14:paraId="2D71E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3" w:hRule="atLeast"/>
        </w:trPr>
        <w:tc>
          <w:tcPr>
            <w:tcW w:w="2835" w:type="dxa"/>
            <w:tcBorders>
              <w:left w:val="single" w:color="auto" w:sz="12" w:space="0"/>
            </w:tcBorders>
            <w:vAlign w:val="center"/>
          </w:tcPr>
          <w:p w14:paraId="005B114A">
            <w:pPr>
              <w:spacing w:line="900" w:lineRule="exact"/>
              <w:ind w:left="440" w:hanging="440"/>
              <w:jc w:val="center"/>
              <w:textAlignment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服务期限</w:t>
            </w:r>
          </w:p>
        </w:tc>
        <w:tc>
          <w:tcPr>
            <w:tcW w:w="6487" w:type="dxa"/>
            <w:tcBorders>
              <w:right w:val="single" w:color="auto" w:sz="12" w:space="0"/>
            </w:tcBorders>
            <w:vAlign w:val="center"/>
          </w:tcPr>
          <w:p w14:paraId="40B2FBC8">
            <w:pPr>
              <w:ind w:left="440" w:hanging="440"/>
              <w:jc w:val="center"/>
              <w:textAlignment w:val="center"/>
              <w:rPr>
                <w:rFonts w:hint="eastAsia" w:ascii="宋体" w:hAnsi="宋体"/>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签订合同后一年（12个月）</w:t>
            </w:r>
          </w:p>
        </w:tc>
      </w:tr>
      <w:tr w14:paraId="69575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9" w:hRule="atLeast"/>
        </w:trPr>
        <w:tc>
          <w:tcPr>
            <w:tcW w:w="2835" w:type="dxa"/>
            <w:tcBorders>
              <w:left w:val="single" w:color="auto" w:sz="12" w:space="0"/>
            </w:tcBorders>
            <w:vAlign w:val="center"/>
          </w:tcPr>
          <w:p w14:paraId="06D6260C">
            <w:pPr>
              <w:spacing w:line="900" w:lineRule="exact"/>
              <w:ind w:left="440" w:hanging="440"/>
              <w:jc w:val="center"/>
              <w:textAlignment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服务地点</w:t>
            </w:r>
          </w:p>
        </w:tc>
        <w:tc>
          <w:tcPr>
            <w:tcW w:w="6487" w:type="dxa"/>
            <w:tcBorders>
              <w:right w:val="single" w:color="auto" w:sz="12" w:space="0"/>
            </w:tcBorders>
            <w:vAlign w:val="center"/>
          </w:tcPr>
          <w:p w14:paraId="607E5387">
            <w:pPr>
              <w:ind w:left="440" w:hanging="440" w:hangingChars="200"/>
              <w:jc w:val="center"/>
              <w:textAlignment w:val="center"/>
              <w:rPr>
                <w:rFonts w:hint="eastAsia" w:ascii="宋体" w:hAnsi="宋体"/>
                <w:color w:val="000000" w:themeColor="text1"/>
                <w14:textFill>
                  <w14:solidFill>
                    <w14:schemeClr w14:val="tx1"/>
                  </w14:solidFill>
                </w14:textFill>
              </w:rPr>
            </w:pPr>
            <w:r>
              <w:rPr>
                <w:rFonts w:ascii="宋体" w:hAnsi="宋体"/>
                <w:color w:val="000000" w:themeColor="text1"/>
                <w:sz w:val="22"/>
                <w:szCs w:val="18"/>
                <w14:textFill>
                  <w14:solidFill>
                    <w14:schemeClr w14:val="tx1"/>
                  </w14:solidFill>
                </w14:textFill>
              </w:rPr>
              <w:t>上饶市妇幼保健院</w:t>
            </w:r>
            <w:r>
              <w:rPr>
                <w:rFonts w:hint="eastAsia" w:ascii="宋体" w:hAnsi="宋体"/>
                <w:color w:val="000000" w:themeColor="text1"/>
                <w:sz w:val="22"/>
                <w:szCs w:val="18"/>
                <w14:textFill>
                  <w14:solidFill>
                    <w14:schemeClr w14:val="tx1"/>
                  </w14:solidFill>
                </w14:textFill>
              </w:rPr>
              <w:t>全院（含信州区中山路38号辅助生殖分院）</w:t>
            </w:r>
          </w:p>
        </w:tc>
      </w:tr>
      <w:tr w14:paraId="6642E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8" w:hRule="atLeast"/>
        </w:trPr>
        <w:tc>
          <w:tcPr>
            <w:tcW w:w="2835" w:type="dxa"/>
            <w:tcBorders>
              <w:left w:val="single" w:color="auto" w:sz="12" w:space="0"/>
            </w:tcBorders>
            <w:vAlign w:val="center"/>
          </w:tcPr>
          <w:p w14:paraId="56081796">
            <w:pPr>
              <w:spacing w:line="900" w:lineRule="exact"/>
              <w:ind w:left="440" w:hanging="440"/>
              <w:jc w:val="center"/>
              <w:textAlignment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备注</w:t>
            </w:r>
          </w:p>
        </w:tc>
        <w:tc>
          <w:tcPr>
            <w:tcW w:w="6487" w:type="dxa"/>
            <w:tcBorders>
              <w:right w:val="single" w:color="auto" w:sz="12" w:space="0"/>
            </w:tcBorders>
            <w:vAlign w:val="center"/>
          </w:tcPr>
          <w:p w14:paraId="0F7DC032">
            <w:pPr>
              <w:ind w:left="480" w:hanging="480" w:hangingChars="200"/>
              <w:jc w:val="center"/>
              <w:textAlignment w:val="center"/>
              <w:rPr>
                <w:rFonts w:hint="eastAsia" w:ascii="宋体" w:hAnsi="宋体"/>
                <w:bCs/>
                <w:color w:val="000000" w:themeColor="text1"/>
                <w:szCs w:val="24"/>
                <w14:textFill>
                  <w14:solidFill>
                    <w14:schemeClr w14:val="tx1"/>
                  </w14:solidFill>
                </w14:textFill>
              </w:rPr>
            </w:pPr>
            <w:r>
              <w:rPr>
                <w:rFonts w:ascii="宋体" w:hAnsi="宋体"/>
                <w:bCs/>
                <w:color w:val="000000" w:themeColor="text1"/>
                <w:szCs w:val="24"/>
                <w14:textFill>
                  <w14:solidFill>
                    <w14:schemeClr w14:val="tx1"/>
                  </w14:solidFill>
                </w14:textFill>
              </w:rPr>
              <w:t>无</w:t>
            </w:r>
          </w:p>
        </w:tc>
      </w:tr>
    </w:tbl>
    <w:p w14:paraId="2F430903">
      <w:pPr>
        <w:ind w:left="440" w:hanging="440"/>
        <w:rPr>
          <w:color w:val="000000" w:themeColor="text1"/>
          <w14:textFill>
            <w14:solidFill>
              <w14:schemeClr w14:val="tx1"/>
            </w14:solidFill>
          </w14:textFill>
        </w:rPr>
      </w:pPr>
    </w:p>
    <w:p w14:paraId="39BD8DE2">
      <w:pPr>
        <w:ind w:left="440" w:hanging="440"/>
        <w:rPr>
          <w:color w:val="000000" w:themeColor="text1"/>
          <w14:textFill>
            <w14:solidFill>
              <w14:schemeClr w14:val="tx1"/>
            </w14:solidFill>
          </w14:textFill>
        </w:rPr>
      </w:pPr>
    </w:p>
    <w:p w14:paraId="37F8F01E">
      <w:pPr>
        <w:ind w:left="440" w:hanging="440"/>
        <w:rPr>
          <w:color w:val="000000" w:themeColor="text1"/>
          <w14:textFill>
            <w14:solidFill>
              <w14:schemeClr w14:val="tx1"/>
            </w14:solidFill>
          </w14:textFill>
        </w:rPr>
      </w:pPr>
    </w:p>
    <w:p w14:paraId="642080A5">
      <w:pPr>
        <w:ind w:left="440" w:hanging="440"/>
        <w:rPr>
          <w:color w:val="000000" w:themeColor="text1"/>
          <w14:textFill>
            <w14:solidFill>
              <w14:schemeClr w14:val="tx1"/>
            </w14:solidFill>
          </w14:textFill>
        </w:rPr>
      </w:pPr>
    </w:p>
    <w:p w14:paraId="4DF41A4C">
      <w:pPr>
        <w:ind w:left="440" w:hanging="440"/>
        <w:rPr>
          <w:color w:val="000000" w:themeColor="text1"/>
          <w14:textFill>
            <w14:solidFill>
              <w14:schemeClr w14:val="tx1"/>
            </w14:solidFill>
          </w14:textFill>
        </w:rPr>
      </w:pPr>
    </w:p>
    <w:p w14:paraId="28A1C614">
      <w:pPr>
        <w:ind w:left="440" w:hanging="440"/>
        <w:rPr>
          <w:color w:val="000000" w:themeColor="text1"/>
          <w14:textFill>
            <w14:solidFill>
              <w14:schemeClr w14:val="tx1"/>
            </w14:solidFill>
          </w14:textFill>
        </w:rPr>
      </w:pPr>
    </w:p>
    <w:p w14:paraId="6138B964">
      <w:pPr>
        <w:ind w:left="440" w:hanging="440"/>
        <w:rPr>
          <w:color w:val="000000" w:themeColor="text1"/>
          <w14:textFill>
            <w14:solidFill>
              <w14:schemeClr w14:val="tx1"/>
            </w14:solidFill>
          </w14:textFill>
        </w:rPr>
      </w:pPr>
    </w:p>
    <w:p w14:paraId="582D2025">
      <w:pPr>
        <w:ind w:left="440" w:hanging="440"/>
        <w:rPr>
          <w:color w:val="000000" w:themeColor="text1"/>
          <w14:textFill>
            <w14:solidFill>
              <w14:schemeClr w14:val="tx1"/>
            </w14:solidFill>
          </w14:textFill>
        </w:rPr>
      </w:pPr>
    </w:p>
    <w:p w14:paraId="56371E15">
      <w:pPr>
        <w:ind w:left="440" w:hanging="440"/>
        <w:rPr>
          <w:color w:val="000000" w:themeColor="text1"/>
          <w14:textFill>
            <w14:solidFill>
              <w14:schemeClr w14:val="tx1"/>
            </w14:solidFill>
          </w14:textFill>
        </w:rPr>
      </w:pPr>
    </w:p>
    <w:p w14:paraId="1B89E206">
      <w:pPr>
        <w:ind w:left="440" w:hanging="440"/>
        <w:rPr>
          <w:color w:val="000000" w:themeColor="text1"/>
          <w14:textFill>
            <w14:solidFill>
              <w14:schemeClr w14:val="tx1"/>
            </w14:solidFill>
          </w14:textFill>
        </w:rPr>
      </w:pPr>
    </w:p>
    <w:p w14:paraId="7B0625C2">
      <w:pPr>
        <w:pStyle w:val="2"/>
        <w:spacing w:after="156"/>
        <w:ind w:left="442" w:hanging="442"/>
        <w:rPr>
          <w:rFonts w:hint="eastAsia"/>
          <w:color w:val="000000" w:themeColor="text1"/>
          <w14:textFill>
            <w14:solidFill>
              <w14:schemeClr w14:val="tx1"/>
            </w14:solidFill>
          </w14:textFill>
        </w:rPr>
      </w:pPr>
      <w:bookmarkStart w:id="2" w:name="_Toc220508430"/>
      <w:r>
        <w:rPr>
          <w:rFonts w:hint="eastAsia"/>
          <w:color w:val="000000" w:themeColor="text1"/>
          <w14:textFill>
            <w14:solidFill>
              <w14:schemeClr w14:val="tx1"/>
            </w14:solidFill>
          </w14:textFill>
        </w:rPr>
        <w:t>二、技术要求</w:t>
      </w:r>
      <w:bookmarkEnd w:id="2"/>
    </w:p>
    <w:p w14:paraId="35E38CF9">
      <w:pPr>
        <w:ind w:left="422" w:hanging="422"/>
        <w:rPr>
          <w:rFonts w:hint="eastAsia"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（一）项目概况</w:t>
      </w:r>
    </w:p>
    <w:p w14:paraId="75A3EBEB">
      <w:pPr>
        <w:ind w:left="480" w:leftChars="200"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1、上饶市妇幼保健院编制床位301张，目前实际开放床位约 200张，医务人员约583人。供应商负责全院（含信州区中山路38号辅助生殖分院单独运送）被套、被单、枕套；手术室布料；医护人员的工服及值班被单、枕套；窗帘、隔帘及其它织物；新布草的过水等的清洗消毒工作。</w:t>
      </w:r>
    </w:p>
    <w:p w14:paraId="2C9E90CE">
      <w:pPr>
        <w:ind w:left="422" w:hanging="422"/>
        <w:rPr>
          <w:rFonts w:hint="eastAsia"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（二）服务要求</w:t>
      </w:r>
    </w:p>
    <w:p w14:paraId="5A26012E">
      <w:pPr>
        <w:ind w:left="480" w:leftChars="200"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采购人设置地点作为污洁衣物交换点，供应商须提供2名专职人员负责污洁衣物的运送，由双方派人员负责每天上午到科室及病区交换待洗布类，并在9点20分之前交给供应商，供应商应在第二天早上8点30分之前（周转期限24小时，特殊情况除外）把洗好的布类交给采购人指定的交接点，供应商须保证采购人每天布类的正常使用。</w:t>
      </w:r>
    </w:p>
    <w:p w14:paraId="7F083373">
      <w:pPr>
        <w:ind w:left="480" w:leftChars="200"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2、供应商对污、洁衣物布类以及运送的推车进行严格区分使用，其中污物以褐色包为标志，洁物以白包为标志。运送推车分污物车与洁物车，由供应商提供。</w:t>
      </w:r>
    </w:p>
    <w:p w14:paraId="78AAB8A3">
      <w:pPr>
        <w:ind w:left="355" w:firstLine="630" w:firstLineChars="3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3、污、洁衣物布类交接的具体时间与安排：</w:t>
      </w:r>
    </w:p>
    <w:p w14:paraId="487A3AC7">
      <w:pPr>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（1）布类每天收、发各不少于一次，收的时间为每天上午，发的时间为次日上午；</w:t>
      </w:r>
    </w:p>
    <w:p w14:paraId="142DBDFC">
      <w:pPr>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（2）工作服及值班用品每周收、发两次以上；</w:t>
      </w:r>
    </w:p>
    <w:p w14:paraId="39DE3048">
      <w:pPr>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（3）污、洁物品件数由供应商清点，填单后由采购人负责复核，双方签字确认；</w:t>
      </w:r>
    </w:p>
    <w:p w14:paraId="1BEF1BCA">
      <w:pPr>
        <w:ind w:left="240" w:leftChars="100" w:firstLine="210" w:firstLineChars="1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4）破损衣物由双方另行登记备案，为保证洗涤衣物的质量，采购人另外包装死者物品、严重污脏破损物品、涉及传染病污染等物品等，应作报废处理，不再送洗。医用织物洗涤、消毒应遵循先洗涤后消毒的原则。对于感染性织物，首选热洗涤方法，可采用洗涤与消毒同时进行的程序。采用水溶性包装袋盛装的感染性织物，应在封闭状态下直接投入洗涤设备内。对不耐热的感染性织物宜在预洗环节同时进行消毒处理，或者先浸泡消毒再进行预洗。</w:t>
      </w:r>
    </w:p>
    <w:p w14:paraId="3F09E1DC">
      <w:pPr>
        <w:ind w:left="240" w:leftChars="100" w:firstLine="210" w:firstLineChars="1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（5）为防止衣物的混杂无序，供应商将对采购人按病区、科室衣物在不显眼处做识别标记。采购人应提供各病区、科室分布情况及人员原工作服号码供供应商参阅，以减少分发时不必要的差错。</w:t>
      </w:r>
    </w:p>
    <w:p w14:paraId="792A87B7">
      <w:pPr>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（6）采购人主管部门应向各有关科室、病区行文通知衣物洗涤的收、发时间及有关注意事项。</w:t>
      </w:r>
    </w:p>
    <w:p w14:paraId="6FA56CAA">
      <w:pPr>
        <w:ind w:left="355"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4、供应商应保证采购人的医务人员及工作人员的工作服等洗涤物品按每件10件或20件一叠分类打包（工作服上衣和裤子要分开打包），装入干净货袋后送采购人指定地点与采购人相关人员清点交接签名。</w:t>
      </w:r>
    </w:p>
    <w:p w14:paraId="3846B942">
      <w:pPr>
        <w:ind w:left="355"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5、若布草出现丢失情况，双方均须先进行自查，若属供应商管理不善丢失等造成医院损失的，应由供应商负责赔偿相应数量及相同品质的新品，若属采购人责任则由采购人自行解决。</w:t>
      </w:r>
    </w:p>
    <w:p w14:paraId="0C3DEA6D">
      <w:pPr>
        <w:ind w:left="355"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6、供应商应严格按照采购人制定的收、送时间执行，保证洗涤周期不超过24小时，节假日照常运作，如采购人有临时应急需要，供应商应无条件配合满足采购人要求，如遇特殊情况（如停电、停水、台风等），双方必须提前沟通到位，以便双方调整安排工作，在此过程中，供应商应尽力克服困难满足采购人正常业务运转需求。</w:t>
      </w:r>
    </w:p>
    <w:p w14:paraId="3E571C15">
      <w:pPr>
        <w:ind w:left="422" w:hanging="422"/>
        <w:rPr>
          <w:rFonts w:hint="eastAsia"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（三）质量标准</w:t>
      </w:r>
    </w:p>
    <w:p w14:paraId="2EDD2C38">
      <w:pPr>
        <w:ind w:left="240" w:leftChars="100"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1、供应商应严格遵守</w:t>
      </w:r>
      <w:bookmarkStart w:id="3" w:name="OLE_LINK2"/>
      <w:r>
        <w:rPr>
          <w:rFonts w:hint="eastAsia" w:ascii="宋体" w:hAnsi="宋体"/>
          <w:color w:val="000000" w:themeColor="text1"/>
          <w:sz w:val="21"/>
          <w:szCs w:val="21"/>
          <w14:textFill>
            <w14:solidFill>
              <w14:schemeClr w14:val="tx1"/>
            </w14:solidFill>
          </w14:textFill>
        </w:rPr>
        <w:t>《医院医用织物洗涤消毒技术规范》WS/T508-2025</w:t>
      </w:r>
      <w:bookmarkEnd w:id="3"/>
      <w:r>
        <w:rPr>
          <w:rFonts w:hint="eastAsia" w:ascii="宋体" w:hAnsi="宋体"/>
          <w:color w:val="000000" w:themeColor="text1"/>
          <w:sz w:val="21"/>
          <w:szCs w:val="21"/>
          <w14:textFill>
            <w14:solidFill>
              <w14:schemeClr w14:val="tx1"/>
            </w14:solidFill>
          </w14:textFill>
        </w:rPr>
        <w:t>和国家最新颁布的相关法律法规、技术规范。</w:t>
      </w:r>
    </w:p>
    <w:p w14:paraId="75F62AF8">
      <w:pPr>
        <w:ind w:left="240" w:leftChars="100" w:right="-98" w:rightChars="-41"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2、供应商医疗布类洗涤严格按照医院感染管理标准执行，并保证洗涤工艺按要求进行分类、分机浸泡消毒，洗涤流程及工序合理规范，质量控制严格按照有关规定执行，并达到相关规定标准。</w:t>
      </w:r>
    </w:p>
    <w:p w14:paraId="71E139EC">
      <w:pPr>
        <w:ind w:left="422" w:hanging="422"/>
        <w:rPr>
          <w:rFonts w:hint="eastAsia"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（四）建筑布局与设施要求</w:t>
      </w:r>
    </w:p>
    <w:p w14:paraId="6878029A">
      <w:pPr>
        <w:ind w:left="422" w:hanging="422"/>
        <w:rPr>
          <w:rFonts w:hint="eastAsia"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1、洗涤消毒作业场所</w:t>
      </w:r>
    </w:p>
    <w:p w14:paraId="5F08AF20">
      <w:pPr>
        <w:ind w:left="355"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1．1、应设有办公区域(包括办公室、卫生间等)和工作区域</w:t>
      </w:r>
    </w:p>
    <w:p w14:paraId="6B334F04">
      <w:pPr>
        <w:ind w:left="355"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1.2、工作区域的建筑布局应符合下列要求:</w:t>
      </w:r>
    </w:p>
    <w:p w14:paraId="2A6B37FA">
      <w:pPr>
        <w:ind w:left="355"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a)</w:t>
      </w:r>
      <w:r>
        <w:rPr>
          <w:rFonts w:hint="eastAsia"/>
          <w:color w:val="000000" w:themeColor="text1"/>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独立设置，医疗机构洗涤消毒作业场所与诊疗区域、社会化洗涤服务机构与居民生活区的隔离卫生间距宜不小于20m；周围环境卫生、整洁；</w:t>
      </w:r>
    </w:p>
    <w:p w14:paraId="6E4F3E78">
      <w:pPr>
        <w:ind w:left="355"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b)</w:t>
      </w:r>
      <w:r>
        <w:rPr>
          <w:rFonts w:hint="eastAsia"/>
          <w:color w:val="000000" w:themeColor="text1"/>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不宜设在地下室；</w:t>
      </w:r>
    </w:p>
    <w:p w14:paraId="711C7AD3">
      <w:pPr>
        <w:ind w:left="355"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c)工作流程应由污到洁,不交叉、不逆行；</w:t>
      </w:r>
    </w:p>
    <w:p w14:paraId="6CA0ECF5">
      <w:pPr>
        <w:ind w:left="355"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d)</w:t>
      </w:r>
      <w:r>
        <w:rPr>
          <w:rFonts w:hint="eastAsia"/>
          <w:color w:val="000000" w:themeColor="text1"/>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应分别设有污染区和清洁区的人员专用通道；</w:t>
      </w:r>
    </w:p>
    <w:p w14:paraId="74AF5A07">
      <w:pPr>
        <w:ind w:left="355"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e)</w:t>
      </w:r>
      <w:r>
        <w:rPr>
          <w:rFonts w:hint="eastAsia"/>
          <w:color w:val="000000" w:themeColor="text1"/>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应分别设有接收与发放医用织物的专用通道；</w:t>
      </w:r>
    </w:p>
    <w:p w14:paraId="061DB575">
      <w:pPr>
        <w:ind w:left="355"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f）分别设有污染区和清洁区，两区之间应有完全隔离屏障，清洁区内的各功能间（区）之间可设置部分隔离屏障；</w:t>
      </w:r>
    </w:p>
    <w:p w14:paraId="3CC7072C">
      <w:pPr>
        <w:ind w:left="355"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g)</w:t>
      </w:r>
      <w:r>
        <w:rPr>
          <w:rFonts w:hint="eastAsia"/>
          <w:color w:val="000000" w:themeColor="text1"/>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污染区应设医用织物接收与分拣间、洗涤消毒间、污车清洗存放处（间）和更衣（缓冲）间等；清洁区可设烘干间，熨烫、修补、折叠间，清点与打包间，储存与发放间、洁车清洗存放处（间）及更衣（缓冲）间等；</w:t>
      </w:r>
    </w:p>
    <w:p w14:paraId="3A6AE945">
      <w:pPr>
        <w:ind w:left="355"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h)</w:t>
      </w:r>
      <w:r>
        <w:rPr>
          <w:rFonts w:hint="eastAsia"/>
          <w:color w:val="000000" w:themeColor="text1"/>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清洁区的清洁织物储存区（间）应清洁干燥；</w:t>
      </w:r>
    </w:p>
    <w:p w14:paraId="3283BE14">
      <w:pPr>
        <w:ind w:left="355"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i)</w:t>
      </w:r>
      <w:r>
        <w:rPr>
          <w:rFonts w:hint="eastAsia"/>
          <w:color w:val="000000" w:themeColor="text1"/>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各区域及功能用房标识明确，通风、采光良好，接收与分拣、烘干与熨烫区域应加强机械通风；</w:t>
      </w:r>
    </w:p>
    <w:p w14:paraId="031FE015">
      <w:pPr>
        <w:ind w:left="355"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j) 污染区及各更衣（缓冲）间设流动水洗手设施，应采用非手触式水龙头开关；</w:t>
      </w:r>
    </w:p>
    <w:p w14:paraId="376DD326">
      <w:pPr>
        <w:ind w:left="355"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k)室内地面、墙面和工作台面应坚固平整、不起尘，便于清洁，装饰材料防水、耐腐蚀；排水设施完善;有防蝇、防鼠等有害生物防制设施。</w:t>
      </w:r>
    </w:p>
    <w:p w14:paraId="419CD6FE">
      <w:pPr>
        <w:ind w:left="422" w:hanging="422"/>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2、织物周转库房</w:t>
      </w:r>
    </w:p>
    <w:p w14:paraId="77B9AA02">
      <w:pPr>
        <w:ind w:left="355"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xml:space="preserve">2.1 供应商应设置织物周转库房； </w:t>
      </w:r>
    </w:p>
    <w:p w14:paraId="28BBF528">
      <w:pPr>
        <w:ind w:left="355"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2.2 应分别设有不交叉、相对独立的使用后医用织物接收和清洁织物储存发放区域，两区域之间有完全隔离屏障，各区及功能用房标识明确；两区域内应分别设洗手设施。</w:t>
      </w:r>
    </w:p>
    <w:p w14:paraId="4DB8BEB2">
      <w:pPr>
        <w:ind w:left="355"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2.3 室内应通风、干燥、清洁；地面、墙面应平整；有防尘、防蝇、防鼠等设施。</w:t>
      </w:r>
    </w:p>
    <w:p w14:paraId="42A48B24">
      <w:pPr>
        <w:ind w:left="355"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2.4 使用后医用织物接收区域应加强通风，可采用机械通风，必要时安装空气消毒设施。</w:t>
      </w:r>
    </w:p>
    <w:p w14:paraId="70366C2F">
      <w:pPr>
        <w:ind w:left="355"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注：同时开展医用织物与公共场所纺织品洗涤（消毒）服务的机构，其工作区域、洗涤消毒设备及工具应分别独立设置、分开使用。</w:t>
      </w:r>
    </w:p>
    <w:p w14:paraId="6087C201">
      <w:pPr>
        <w:ind w:left="422" w:hanging="422"/>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3、洗涤设备要求：</w:t>
      </w:r>
    </w:p>
    <w:p w14:paraId="494854C2">
      <w:pPr>
        <w:ind w:left="355" w:firstLine="422" w:firstLineChars="200"/>
        <w:rPr>
          <w:rFonts w:hint="eastAsia" w:ascii="宋体" w:hAnsi="宋体"/>
          <w:color w:val="000000" w:themeColor="text1"/>
          <w:sz w:val="21"/>
          <w:szCs w:val="21"/>
          <w14:textFill>
            <w14:solidFill>
              <w14:schemeClr w14:val="tx1"/>
            </w14:solidFill>
          </w14:textFill>
        </w:rPr>
      </w:pPr>
      <w:r>
        <w:rPr>
          <w:rFonts w:hint="eastAsia" w:ascii="宋体" w:hAnsi="宋体" w:cs="宋体"/>
          <w:b/>
          <w:bCs/>
          <w:color w:val="000000" w:themeColor="text1"/>
          <w:sz w:val="21"/>
          <w:szCs w:val="21"/>
          <w:lang w:bidi="zh-CN"/>
          <w14:textFill>
            <w14:solidFill>
              <w14:schemeClr w14:val="tx1"/>
            </w14:solidFill>
          </w14:textFill>
        </w:rPr>
        <w:t>供应商应至少配备一台医务人员的医用织物专用洗涤设备、一台新生儿（婴儿）的医用织物专用洗涤设备及一台用于清洗感染性织物的隔离式洗涤设备。提供相关设备购置合同扫描件或购买发票或租赁合同复印件加盖公章，并提供设备实物的图片进行佐证。</w:t>
      </w:r>
    </w:p>
    <w:p w14:paraId="1E3AD8D8">
      <w:pPr>
        <w:ind w:left="422" w:hanging="422"/>
        <w:rPr>
          <w:rFonts w:hint="eastAsia"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（五）注意事项</w:t>
      </w:r>
    </w:p>
    <w:p w14:paraId="529D98B4">
      <w:pPr>
        <w:ind w:left="422" w:hanging="422"/>
        <w:rPr>
          <w:rFonts w:hint="eastAsia"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1、收送运输注意事项</w:t>
      </w:r>
    </w:p>
    <w:p w14:paraId="02F8211D">
      <w:pPr>
        <w:ind w:left="240" w:leftChars="100" w:firstLine="210" w:firstLineChars="1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（1）衣物肩、扛、手推车、不地面拖拉；</w:t>
      </w:r>
    </w:p>
    <w:p w14:paraId="041B0259">
      <w:pPr>
        <w:ind w:left="240" w:leftChars="100" w:firstLine="210" w:firstLineChars="1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（2）收、发皆核对品种，清点数量，有误差的及时处理；</w:t>
      </w:r>
    </w:p>
    <w:p w14:paraId="1B35B547">
      <w:pPr>
        <w:ind w:left="240" w:leftChars="100" w:firstLine="210" w:firstLineChars="1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（3）检查布草收件情况；</w:t>
      </w:r>
    </w:p>
    <w:p w14:paraId="76781DF3">
      <w:pPr>
        <w:ind w:left="240" w:leftChars="100" w:firstLine="210" w:firstLineChars="1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（4）检查发送件，发现重洗、缝补件的应退回处理；</w:t>
      </w:r>
    </w:p>
    <w:p w14:paraId="7921FAEF">
      <w:pPr>
        <w:ind w:left="240" w:leftChars="100" w:firstLine="210" w:firstLineChars="1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（5）不丢失、不错发错发、不漏收漏发；</w:t>
      </w:r>
    </w:p>
    <w:p w14:paraId="27A48A9A">
      <w:pPr>
        <w:ind w:left="240" w:leftChars="100" w:firstLine="210" w:firstLineChars="1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（6）认真清点、交接、签名，及时反馈信息。</w:t>
      </w:r>
    </w:p>
    <w:p w14:paraId="6E65FF73">
      <w:pPr>
        <w:ind w:left="422" w:hanging="422"/>
        <w:rPr>
          <w:rFonts w:hint="eastAsia"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2、洗涤分拣注意事项</w:t>
      </w:r>
    </w:p>
    <w:p w14:paraId="5A05BFE2">
      <w:pPr>
        <w:ind w:left="240" w:leftChars="100" w:firstLine="210" w:firstLineChars="1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（1）清点、核实送洗物清单，发现品种、数量不符立即报告处理；</w:t>
      </w:r>
    </w:p>
    <w:p w14:paraId="299F2A87">
      <w:pPr>
        <w:ind w:left="240" w:leftChars="100" w:firstLine="210" w:firstLineChars="1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（2）检查送洗物质量，发现报损件应分拣登记，交送处理；</w:t>
      </w:r>
    </w:p>
    <w:p w14:paraId="5A2F4652">
      <w:pPr>
        <w:ind w:left="240" w:leftChars="100" w:firstLine="210" w:firstLineChars="1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（3）区分物类不混淆，有序陈放；</w:t>
      </w:r>
    </w:p>
    <w:p w14:paraId="62A9AA5A">
      <w:pPr>
        <w:ind w:left="240" w:leftChars="100" w:firstLine="210" w:firstLineChars="1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（4）分拣血渍、粪便、传染病衣物（标识清楚），区别袋装；</w:t>
      </w:r>
    </w:p>
    <w:p w14:paraId="21F9347C">
      <w:pPr>
        <w:ind w:left="240" w:leftChars="100" w:firstLine="210" w:firstLineChars="1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（5）检查衣裤带，排除异物，有贵重物品上交；</w:t>
      </w:r>
    </w:p>
    <w:p w14:paraId="705F4133">
      <w:pPr>
        <w:ind w:left="240" w:leftChars="100" w:firstLine="210" w:firstLineChars="1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（6）被、枕套翻面洗；</w:t>
      </w:r>
    </w:p>
    <w:p w14:paraId="11553EA9">
      <w:pPr>
        <w:ind w:left="240" w:leftChars="100" w:firstLine="210" w:firstLineChars="1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（7）清点整理污袋物品，打包放置。</w:t>
      </w:r>
    </w:p>
    <w:p w14:paraId="0E519A10">
      <w:pPr>
        <w:ind w:left="422" w:hanging="422"/>
        <w:rPr>
          <w:rFonts w:hint="eastAsia"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3、洗涤脱水烘干注意事项</w:t>
      </w:r>
    </w:p>
    <w:p w14:paraId="6B9001EB">
      <w:pPr>
        <w:ind w:left="240" w:leftChars="100" w:firstLine="210" w:firstLineChars="1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（1）不混淆、不混脱、不混烘、不交叉感染；</w:t>
      </w:r>
    </w:p>
    <w:p w14:paraId="0EA697B9">
      <w:pPr>
        <w:ind w:left="240" w:leftChars="100" w:firstLine="210" w:firstLineChars="1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（2）不褪色、不染色、不呈斑点、不存留异味；</w:t>
      </w:r>
    </w:p>
    <w:p w14:paraId="281757B8">
      <w:pPr>
        <w:ind w:left="240" w:leftChars="100" w:firstLine="210" w:firstLineChars="1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（3）不见血迹、油渍、汗渍、药渍、锈渍；</w:t>
      </w:r>
    </w:p>
    <w:p w14:paraId="228CFA93">
      <w:pPr>
        <w:ind w:left="240" w:leftChars="100" w:firstLine="210" w:firstLineChars="1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（4）不撕裂、不破损、不露洗、不丢失、不失落地面；</w:t>
      </w:r>
    </w:p>
    <w:p w14:paraId="15758CE2">
      <w:pPr>
        <w:ind w:left="240" w:leftChars="100" w:firstLine="210" w:firstLineChars="1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（5）没有非油性非碳素墨迹，非陈旧性污迹、非顽固性黄斑；</w:t>
      </w:r>
    </w:p>
    <w:p w14:paraId="59AA6569">
      <w:pPr>
        <w:ind w:left="240" w:leftChars="100" w:firstLine="210" w:firstLineChars="1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（6）适度烘干类别：布类九层、工服八成、被床单五层干；</w:t>
      </w:r>
    </w:p>
    <w:p w14:paraId="79014688">
      <w:pPr>
        <w:ind w:left="240" w:leftChars="100" w:firstLine="210" w:firstLineChars="1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（7） 退洗率不超15%（包括工作服和布类）</w:t>
      </w:r>
    </w:p>
    <w:p w14:paraId="40FBC3FF">
      <w:pPr>
        <w:ind w:left="422" w:hanging="422"/>
        <w:rPr>
          <w:rFonts w:hint="eastAsia"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4、工作服手烫折叠注意事项</w:t>
      </w:r>
    </w:p>
    <w:p w14:paraId="159AD964">
      <w:pPr>
        <w:ind w:left="240" w:leftChars="100" w:firstLine="210" w:firstLineChars="1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（1）手烫平整、挺括、定型；</w:t>
      </w:r>
    </w:p>
    <w:p w14:paraId="70929D4E">
      <w:pPr>
        <w:ind w:left="240" w:leftChars="100" w:firstLine="210" w:firstLineChars="1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（2）折叠完整、定位、无皱</w:t>
      </w:r>
    </w:p>
    <w:p w14:paraId="43A99A38">
      <w:pPr>
        <w:ind w:left="240" w:leftChars="100" w:firstLine="210" w:firstLineChars="1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（3）规定分拣，认真核对，规范包装；</w:t>
      </w:r>
    </w:p>
    <w:p w14:paraId="5C8E2AF0">
      <w:pPr>
        <w:ind w:left="240" w:leftChars="100" w:firstLine="210" w:firstLineChars="1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（4）发现退洗、退补件应交付处置；</w:t>
      </w:r>
    </w:p>
    <w:p w14:paraId="551215CC">
      <w:pPr>
        <w:ind w:left="240" w:leftChars="100" w:firstLine="210" w:firstLineChars="1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（5）不误捡、不分装、不错送、不丢失；</w:t>
      </w:r>
    </w:p>
    <w:p w14:paraId="31DB206E">
      <w:pPr>
        <w:ind w:left="422" w:hanging="422"/>
        <w:rPr>
          <w:rFonts w:hint="eastAsia"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5、布类熨平折叠注意事项</w:t>
      </w:r>
    </w:p>
    <w:p w14:paraId="3E77F653">
      <w:pPr>
        <w:ind w:left="240" w:leftChars="100" w:firstLine="210" w:firstLineChars="1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（1）发现重洗、缝补件应交付处置；</w:t>
      </w:r>
    </w:p>
    <w:p w14:paraId="1B31AA3E">
      <w:pPr>
        <w:ind w:left="240" w:leftChars="100" w:firstLine="210" w:firstLineChars="1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（2）被套、枕套、窗帘、隔帘熨平，要求平整无皱、挺括定型；</w:t>
      </w:r>
    </w:p>
    <w:p w14:paraId="5B5CC910">
      <w:pPr>
        <w:ind w:left="240" w:leftChars="100" w:firstLine="210" w:firstLineChars="1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（3）规范折叠、完整、定位；</w:t>
      </w:r>
    </w:p>
    <w:p w14:paraId="119A6207">
      <w:pPr>
        <w:ind w:left="240" w:leftChars="100" w:firstLine="210" w:firstLineChars="1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（4）详细分类、认真核对、规范打包；</w:t>
      </w:r>
    </w:p>
    <w:p w14:paraId="6AAF59A4">
      <w:pPr>
        <w:ind w:left="240" w:leftChars="100" w:firstLine="210" w:firstLineChars="1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（5）不误捡、不混装、不错送、不丢失；</w:t>
      </w:r>
    </w:p>
    <w:p w14:paraId="640EE422">
      <w:pPr>
        <w:ind w:left="422" w:hanging="422"/>
        <w:rPr>
          <w:rFonts w:hint="eastAsia"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6、缝补注意事项</w:t>
      </w:r>
    </w:p>
    <w:p w14:paraId="2A52DA59">
      <w:pPr>
        <w:ind w:left="240" w:leftChars="100" w:firstLine="210" w:firstLineChars="1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（1）使用同一色质布料、色样缝线；</w:t>
      </w:r>
    </w:p>
    <w:p w14:paraId="478F54AF">
      <w:pPr>
        <w:ind w:left="240" w:leftChars="100" w:firstLine="210" w:firstLineChars="1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（2）针距适中、直线走势、压线松紧适度；</w:t>
      </w:r>
    </w:p>
    <w:p w14:paraId="60B09AEF">
      <w:pPr>
        <w:ind w:left="240" w:leftChars="100" w:firstLine="210" w:firstLineChars="1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（3）无多余线头、无剩余布尾；</w:t>
      </w:r>
    </w:p>
    <w:p w14:paraId="7234A919">
      <w:pPr>
        <w:ind w:left="240" w:leftChars="100" w:firstLine="210" w:firstLineChars="1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（4）根据破损程度，采用不同缝补法；</w:t>
      </w:r>
    </w:p>
    <w:p w14:paraId="694821F6">
      <w:pPr>
        <w:ind w:left="240" w:leftChars="100" w:firstLine="210" w:firstLineChars="1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（5）不漏补、不延误、不丢失；</w:t>
      </w:r>
    </w:p>
    <w:p w14:paraId="0F4BBA34">
      <w:pPr>
        <w:ind w:left="240" w:leftChars="100" w:right="-98" w:rightChars="-41" w:firstLine="210" w:firstLineChars="1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（6）布草显眼处无补丁，其他处一个补丁不超过一平方厘米，一件布草补丁不超3个，以采购人及病人满意为准；</w:t>
      </w:r>
    </w:p>
    <w:p w14:paraId="67331C94">
      <w:pPr>
        <w:ind w:left="240" w:leftChars="100" w:firstLine="210" w:firstLineChars="1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（7）不掉扣掉带；</w:t>
      </w:r>
    </w:p>
    <w:p w14:paraId="2EDC42BE">
      <w:pPr>
        <w:ind w:left="422" w:hanging="422"/>
        <w:rPr>
          <w:rFonts w:hint="eastAsia"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7、手术室中对供应商的特殊要求如下：</w:t>
      </w:r>
    </w:p>
    <w:p w14:paraId="52F938DB">
      <w:pPr>
        <w:ind w:left="240" w:leftChars="100" w:firstLine="210" w:firstLineChars="1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（1）所有布类与医护人员用的布类及床上用品要分机清洗；</w:t>
      </w:r>
    </w:p>
    <w:p w14:paraId="3E070E7D">
      <w:pPr>
        <w:ind w:left="240" w:leftChars="100" w:firstLine="210" w:firstLineChars="1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（2）有破洞的布类要及时修补或更换（包括所有的带子）；</w:t>
      </w:r>
    </w:p>
    <w:p w14:paraId="2FC39E96">
      <w:pPr>
        <w:ind w:left="240" w:leftChars="100" w:firstLine="210" w:firstLineChars="1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（3）洗、送布类时间要尽量配合手术室的要求；</w:t>
      </w:r>
    </w:p>
    <w:p w14:paraId="7EA7BDC6">
      <w:pPr>
        <w:widowControl/>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（4）洗、送布类的员工到手术室工作要遵守手术室的有关制度。</w:t>
      </w:r>
    </w:p>
    <w:p w14:paraId="04285A9B">
      <w:pPr>
        <w:ind w:left="422" w:hanging="422"/>
        <w:rPr>
          <w:rFonts w:hint="eastAsia"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（六）存储</w:t>
      </w:r>
    </w:p>
    <w:p w14:paraId="1B28A196">
      <w:pPr>
        <w:ind w:left="355" w:firstLine="420" w:firstLineChars="200"/>
        <w:rPr>
          <w:color w:val="000000" w:themeColor="text1"/>
          <w:sz w:val="21"/>
          <w:szCs w:val="16"/>
          <w14:textFill>
            <w14:solidFill>
              <w14:schemeClr w14:val="tx1"/>
            </w14:solidFill>
          </w14:textFill>
        </w:rPr>
      </w:pPr>
      <w:r>
        <w:rPr>
          <w:rFonts w:hint="eastAsia"/>
          <w:color w:val="000000" w:themeColor="text1"/>
          <w:sz w:val="21"/>
          <w:szCs w:val="16"/>
          <w14:textFill>
            <w14:solidFill>
              <w14:schemeClr w14:val="tx1"/>
            </w14:solidFill>
          </w14:textFill>
        </w:rPr>
        <w:t>1、使用后医用织物应暂存于使用后医用织物接收区（间）的专用容器内，并有明显标识；暂存时间不应超过48 h。</w:t>
      </w:r>
    </w:p>
    <w:p w14:paraId="00CBB097">
      <w:pPr>
        <w:ind w:left="355" w:firstLine="420" w:firstLineChars="200"/>
        <w:rPr>
          <w:color w:val="000000" w:themeColor="text1"/>
          <w:sz w:val="21"/>
          <w:szCs w:val="16"/>
          <w14:textFill>
            <w14:solidFill>
              <w14:schemeClr w14:val="tx1"/>
            </w14:solidFill>
          </w14:textFill>
        </w:rPr>
      </w:pPr>
      <w:r>
        <w:rPr>
          <w:rFonts w:hint="eastAsia"/>
          <w:color w:val="000000" w:themeColor="text1"/>
          <w:sz w:val="21"/>
          <w:szCs w:val="16"/>
          <w14:textFill>
            <w14:solidFill>
              <w14:schemeClr w14:val="tx1"/>
            </w14:solidFill>
          </w14:textFill>
        </w:rPr>
        <w:t>2、清洁织物应存放于清洁织物储存发放区（间）的专用容器或柜架内，并有明显标识。</w:t>
      </w:r>
    </w:p>
    <w:p w14:paraId="21425411">
      <w:pPr>
        <w:ind w:left="355" w:firstLine="420" w:firstLineChars="200"/>
        <w:rPr>
          <w:color w:val="000000" w:themeColor="text1"/>
          <w:sz w:val="21"/>
          <w:szCs w:val="16"/>
          <w14:textFill>
            <w14:solidFill>
              <w14:schemeClr w14:val="tx1"/>
            </w14:solidFill>
          </w14:textFill>
        </w:rPr>
      </w:pPr>
      <w:r>
        <w:rPr>
          <w:rFonts w:hint="eastAsia"/>
          <w:color w:val="000000" w:themeColor="text1"/>
          <w:sz w:val="21"/>
          <w:szCs w:val="16"/>
          <w14:textFill>
            <w14:solidFill>
              <w14:schemeClr w14:val="tx1"/>
            </w14:solidFill>
          </w14:textFill>
        </w:rPr>
        <w:t>3、清洁织物存放柜架宜距地面高度≥20cm，离墙≥5cm，距天花板≥50cm；清洁织物储存发放区（间）室内空气相对湿度宜低于70%。清洁织物存放环境空气相对湿度达到规定时，存放时间不宜超过30d；未达到规定时，存放时间宜适当缩短。</w:t>
      </w:r>
    </w:p>
    <w:p w14:paraId="089FE766">
      <w:pPr>
        <w:ind w:left="355" w:firstLine="420" w:firstLineChars="200"/>
        <w:rPr>
          <w:color w:val="000000" w:themeColor="text1"/>
          <w:sz w:val="21"/>
          <w:szCs w:val="16"/>
          <w14:textFill>
            <w14:solidFill>
              <w14:schemeClr w14:val="tx1"/>
            </w14:solidFill>
          </w14:textFill>
        </w:rPr>
      </w:pPr>
      <w:r>
        <w:rPr>
          <w:rFonts w:hint="eastAsia"/>
          <w:color w:val="000000" w:themeColor="text1"/>
          <w:sz w:val="21"/>
          <w:szCs w:val="16"/>
          <w14:textFill>
            <w14:solidFill>
              <w14:schemeClr w14:val="tx1"/>
            </w14:solidFill>
          </w14:textFill>
        </w:rPr>
        <w:t>4、清洁织物储存过程中，若发现有污渍、异味等感观问题或超过推荐的存放时间应重新洗涤。使用后医用织物每次移交后，应对其接收区（间）环境表面、地面进行清洁，并根据工作需要进行物表、空气消毒。清洁织物储存发放区（间）环境受到污染时应进行清洁、消毒。</w:t>
      </w:r>
    </w:p>
    <w:p w14:paraId="797CDD26">
      <w:pPr>
        <w:ind w:left="422" w:hanging="422"/>
        <w:rPr>
          <w:rFonts w:hint="eastAsia"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（七）资料管理与保存要求</w:t>
      </w:r>
    </w:p>
    <w:p w14:paraId="463CFFFD">
      <w:pPr>
        <w:ind w:left="240" w:leftChars="100"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1、医用织物洗涤消毒作业场所的各项相关制度、服务合同、卫生质量检测报告，以及所用消毒剂、消毒器械的有效证明（复印件或电子版）等资料应建档备查，及时更新。</w:t>
      </w:r>
    </w:p>
    <w:p w14:paraId="2D3574D6">
      <w:pPr>
        <w:ind w:left="240" w:leftChars="100"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使用后医用织物和清洁织物收集、交接时，应有记录单据，记录内容应包括医用织物的名称、数量、外观、洗涤消毒方式、交接时间等信息，并有质检员和交接人员签字。从事医用织物洗涤服务的社会化洗涤服务机构还应有单位名称、交接人与联系方式并签字，供双方存查、追溯。日常质检记录、交接记录等信息应具有可追溯性。</w:t>
      </w:r>
    </w:p>
    <w:p w14:paraId="77E475FF">
      <w:pPr>
        <w:ind w:left="240" w:leftChars="100"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3、信息记录的载体可为电子文件或纸质文件，可追溯信息保存期不少于 1 年。</w:t>
      </w:r>
    </w:p>
    <w:p w14:paraId="33510108">
      <w:pPr>
        <w:ind w:left="422" w:hanging="422"/>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（八）环境卫生和清洁织物卫生质量要求</w:t>
      </w:r>
    </w:p>
    <w:p w14:paraId="0B57B04E">
      <w:pPr>
        <w:ind w:left="240" w:leftChars="100"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1、供应商应参照 GB 18466规定对污水开展相应微生物指标监测；污水排放均应符合GB 18466 要求。</w:t>
      </w:r>
    </w:p>
    <w:p w14:paraId="0F61C7E1">
      <w:pPr>
        <w:ind w:left="240" w:leftChars="100"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2、根据工作需要，供应商应定期开展其主洗环节的温度与维持时间的质控和清洁织物 pH 测定。微生物指标的细菌菌落总数、大肠菌群、金黄色葡萄球菌应每半年检测 1 次；梅雨季节或清洁织物存放环境空气相对湿度高于70%时应增加检测真菌；根据工作需要或怀疑医院感染暴发与医用织物有关时，应进行目标微生物检测。采购人将不定期抽检，检测结果应满足《医院医用织物洗涤消毒技术规范》WS/T508-2025中的数值要求。</w:t>
      </w:r>
    </w:p>
    <w:p w14:paraId="76D00D1B">
      <w:pPr>
        <w:widowControl/>
        <w:ind w:left="422" w:hanging="422"/>
        <w:rPr>
          <w:rFonts w:hint="eastAsia" w:ascii="宋体" w:hAnsi="宋体"/>
          <w:color w:val="000000" w:themeColor="text1"/>
          <w:szCs w:val="24"/>
          <w14:textFill>
            <w14:solidFill>
              <w14:schemeClr w14:val="tx1"/>
            </w14:solidFill>
          </w14:textFill>
        </w:rPr>
      </w:pPr>
      <w:r>
        <w:rPr>
          <w:rFonts w:hint="eastAsia" w:ascii="宋体"/>
          <w:b/>
          <w:bCs/>
          <w:color w:val="000000" w:themeColor="text1"/>
          <w:sz w:val="21"/>
          <w:szCs w:val="21"/>
          <w14:textFill>
            <w14:solidFill>
              <w14:schemeClr w14:val="tx1"/>
            </w14:solidFill>
          </w14:textFill>
        </w:rPr>
        <w:t>注：</w:t>
      </w:r>
      <w:r>
        <w:rPr>
          <w:rFonts w:hint="eastAsia" w:ascii="宋体" w:hAnsi="宋体"/>
          <w:b/>
          <w:bCs/>
          <w:color w:val="000000" w:themeColor="text1"/>
          <w:sz w:val="21"/>
          <w:szCs w:val="21"/>
          <w14:textFill>
            <w14:solidFill>
              <w14:schemeClr w14:val="tx1"/>
            </w14:solidFill>
          </w14:textFill>
        </w:rPr>
        <w:t>以上技术要求投标人不能负偏离，必须完全响应或正偏离，否则将作为无效标处理。</w:t>
      </w:r>
    </w:p>
    <w:p w14:paraId="085EF97C">
      <w:pPr>
        <w:widowControl/>
        <w:spacing w:line="240" w:lineRule="auto"/>
        <w:ind w:left="440" w:hanging="440"/>
        <w:rPr>
          <w:rFonts w:hint="eastAsia" w:ascii="宋体" w:hAnsi="宋体" w:cstheme="majorBidi"/>
          <w:b/>
          <w:bCs/>
          <w:color w:val="000000" w:themeColor="text1"/>
          <w:szCs w:val="24"/>
          <w14:textFill>
            <w14:solidFill>
              <w14:schemeClr w14:val="tx1"/>
            </w14:solidFill>
          </w14:textFill>
        </w:rPr>
      </w:pPr>
      <w:r>
        <w:rPr>
          <w:color w:val="000000" w:themeColor="text1"/>
          <w14:textFill>
            <w14:solidFill>
              <w14:schemeClr w14:val="tx1"/>
            </w14:solidFill>
          </w14:textFill>
        </w:rPr>
        <w:br w:type="page"/>
      </w:r>
    </w:p>
    <w:p w14:paraId="3E95BE46">
      <w:pPr>
        <w:pStyle w:val="2"/>
        <w:spacing w:after="156"/>
        <w:ind w:left="442" w:hanging="442"/>
        <w:rPr>
          <w:rFonts w:hint="eastAsia"/>
          <w:color w:val="000000" w:themeColor="text1"/>
          <w14:textFill>
            <w14:solidFill>
              <w14:schemeClr w14:val="tx1"/>
            </w14:solidFill>
          </w14:textFill>
        </w:rPr>
      </w:pPr>
      <w:bookmarkStart w:id="4" w:name="_Toc220508431"/>
      <w:r>
        <w:rPr>
          <w:rFonts w:hint="eastAsia"/>
          <w:color w:val="000000" w:themeColor="text1"/>
          <w14:textFill>
            <w14:solidFill>
              <w14:schemeClr w14:val="tx1"/>
            </w14:solidFill>
          </w14:textFill>
        </w:rPr>
        <w:t>三、商务条款</w:t>
      </w:r>
      <w:bookmarkEnd w:id="4"/>
    </w:p>
    <w:p w14:paraId="11B14E10">
      <w:pPr>
        <w:ind w:left="355" w:firstLine="422" w:firstLineChars="200"/>
        <w:rPr>
          <w:rFonts w:hint="eastAsia"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（一）服务地点</w:t>
      </w:r>
    </w:p>
    <w:p w14:paraId="5A0C6BFD">
      <w:pPr>
        <w:pStyle w:val="13"/>
        <w:spacing w:line="500" w:lineRule="exact"/>
        <w:ind w:firstLine="840" w:firstLineChars="400"/>
        <w:rPr>
          <w:rFonts w:hint="eastAsia"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上饶市妇幼保健院全院（含信州区中山路38号辅助生殖分院）。</w:t>
      </w:r>
    </w:p>
    <w:p w14:paraId="2997C13F">
      <w:pPr>
        <w:ind w:left="355" w:firstLine="422" w:firstLineChars="200"/>
        <w:rPr>
          <w:rFonts w:hint="eastAsia"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（二）服务期限</w:t>
      </w:r>
    </w:p>
    <w:p w14:paraId="3DDD5CC9">
      <w:pPr>
        <w:snapToGrid w:val="0"/>
        <w:ind w:firstLine="840" w:firstLineChars="400"/>
        <w:rPr>
          <w:rFonts w:hint="eastAsia"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签订合同后一年（12个月）</w:t>
      </w:r>
    </w:p>
    <w:p w14:paraId="703D6F1F">
      <w:pPr>
        <w:ind w:left="355" w:firstLine="422" w:firstLineChars="200"/>
        <w:rPr>
          <w:rFonts w:hint="eastAsia"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（三）付款方式</w:t>
      </w:r>
    </w:p>
    <w:p w14:paraId="7FDCEBDF">
      <w:pPr>
        <w:snapToGrid w:val="0"/>
        <w:ind w:left="355" w:firstLine="420" w:firstLineChars="200"/>
        <w:rPr>
          <w:rFonts w:hint="eastAsia"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付款方式：按月结算，每月费用为供应商中标价除以12个月计算。供应商开具发票，采购单位在收到发票后的第二个月15日前向成交供应商支付上一个月洗涤承包费。</w:t>
      </w:r>
    </w:p>
    <w:p w14:paraId="5951D4B4">
      <w:pPr>
        <w:widowControl/>
        <w:ind w:left="355" w:firstLine="422" w:firstLineChars="200"/>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（四）</w:t>
      </w:r>
      <w:r>
        <w:rPr>
          <w:rFonts w:hint="eastAsia" w:ascii="宋体" w:hAnsi="宋体" w:cs="宋体"/>
          <w:b/>
          <w:bCs/>
          <w:color w:val="000000" w:themeColor="text1"/>
          <w:kern w:val="0"/>
          <w:sz w:val="21"/>
          <w:szCs w:val="21"/>
          <w:lang w:bidi="ar"/>
          <w14:textFill>
            <w14:solidFill>
              <w14:schemeClr w14:val="tx1"/>
            </w14:solidFill>
          </w14:textFill>
        </w:rPr>
        <w:t xml:space="preserve">技术标准 </w:t>
      </w:r>
    </w:p>
    <w:p w14:paraId="3359DF9F">
      <w:pPr>
        <w:widowControl/>
        <w:ind w:left="355"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kern w:val="0"/>
          <w:sz w:val="21"/>
          <w:szCs w:val="21"/>
          <w:lang w:bidi="ar"/>
          <w14:textFill>
            <w14:solidFill>
              <w14:schemeClr w14:val="tx1"/>
            </w14:solidFill>
          </w14:textFill>
        </w:rPr>
        <w:t xml:space="preserve">严格按照洗涤行业标准，采用环保原料，确保洗涤质量达标。 </w:t>
      </w:r>
    </w:p>
    <w:p w14:paraId="19E4B5A0">
      <w:pPr>
        <w:widowControl/>
        <w:ind w:left="355" w:firstLine="422" w:firstLineChars="200"/>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（五）</w:t>
      </w:r>
      <w:r>
        <w:rPr>
          <w:rFonts w:hint="eastAsia" w:ascii="宋体" w:hAnsi="宋体" w:cs="宋体"/>
          <w:b/>
          <w:bCs/>
          <w:color w:val="000000" w:themeColor="text1"/>
          <w:kern w:val="0"/>
          <w:sz w:val="21"/>
          <w:szCs w:val="21"/>
          <w:lang w:bidi="ar"/>
          <w14:textFill>
            <w14:solidFill>
              <w14:schemeClr w14:val="tx1"/>
            </w14:solidFill>
          </w14:textFill>
        </w:rPr>
        <w:t xml:space="preserve">验收 </w:t>
      </w:r>
    </w:p>
    <w:p w14:paraId="76186CF3">
      <w:pPr>
        <w:widowControl/>
        <w:ind w:left="355"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kern w:val="0"/>
          <w:sz w:val="21"/>
          <w:szCs w:val="21"/>
          <w:lang w:bidi="ar"/>
          <w14:textFill>
            <w14:solidFill>
              <w14:schemeClr w14:val="tx1"/>
            </w14:solidFill>
          </w14:textFill>
        </w:rPr>
        <w:t xml:space="preserve">采购单位在交、收货时间对物品品种、数量、洗涤质量进行清点、核查，双方签字确认，发现问题及时向供应商提出，由双方查找原因进行解决。 </w:t>
      </w:r>
    </w:p>
    <w:p w14:paraId="22189E77">
      <w:pPr>
        <w:widowControl/>
        <w:ind w:left="355" w:firstLine="422" w:firstLineChars="200"/>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（六）</w:t>
      </w:r>
      <w:r>
        <w:rPr>
          <w:rFonts w:hint="eastAsia" w:ascii="宋体" w:hAnsi="宋体" w:cs="宋体"/>
          <w:b/>
          <w:bCs/>
          <w:color w:val="000000" w:themeColor="text1"/>
          <w:kern w:val="0"/>
          <w:sz w:val="21"/>
          <w:szCs w:val="21"/>
          <w:lang w:bidi="ar"/>
          <w14:textFill>
            <w14:solidFill>
              <w14:schemeClr w14:val="tx1"/>
            </w14:solidFill>
          </w14:textFill>
        </w:rPr>
        <w:t xml:space="preserve">违约责任 </w:t>
      </w:r>
    </w:p>
    <w:p w14:paraId="2583FC32">
      <w:pPr>
        <w:widowControl/>
        <w:ind w:left="355"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kern w:val="0"/>
          <w:sz w:val="21"/>
          <w:szCs w:val="21"/>
          <w:lang w:bidi="ar"/>
          <w14:textFill>
            <w14:solidFill>
              <w14:schemeClr w14:val="tx1"/>
            </w14:solidFill>
          </w14:textFill>
        </w:rPr>
        <w:t xml:space="preserve">1、供应商因故不能按时送货，应提前向采购单位通报，并采取补救措施，如因此给采购人医疗工作造成重大影响，将承担违约金 500元/次。 </w:t>
      </w:r>
    </w:p>
    <w:p w14:paraId="536ED025">
      <w:pPr>
        <w:widowControl/>
        <w:ind w:left="355"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kern w:val="0"/>
          <w:sz w:val="21"/>
          <w:szCs w:val="21"/>
          <w:lang w:bidi="ar"/>
          <w14:textFill>
            <w14:solidFill>
              <w14:schemeClr w14:val="tx1"/>
            </w14:solidFill>
          </w14:textFill>
        </w:rPr>
        <w:t xml:space="preserve">2、供应商因丢失物品（包括工作服）需按价赔偿。 </w:t>
      </w:r>
    </w:p>
    <w:p w14:paraId="5D340E4E">
      <w:pPr>
        <w:pStyle w:val="6"/>
        <w:spacing w:before="156" w:beforeAutospacing="0" w:after="156" w:afterAutospacing="0"/>
        <w:ind w:left="355" w:firstLine="420" w:firstLineChars="200"/>
        <w:rPr>
          <w:rFonts w:hint="eastAsia"/>
          <w:color w:val="000000" w:themeColor="text1"/>
          <w:sz w:val="21"/>
          <w:szCs w:val="21"/>
          <w:lang w:bidi="ar"/>
          <w14:textFill>
            <w14:solidFill>
              <w14:schemeClr w14:val="tx1"/>
            </w14:solidFill>
          </w14:textFill>
        </w:rPr>
      </w:pPr>
      <w:r>
        <w:rPr>
          <w:rFonts w:hint="eastAsia" w:cs="宋体"/>
          <w:color w:val="000000" w:themeColor="text1"/>
          <w:sz w:val="21"/>
          <w:szCs w:val="21"/>
          <w:lang w:bidi="ar"/>
          <w14:textFill>
            <w14:solidFill>
              <w14:schemeClr w14:val="tx1"/>
            </w14:solidFill>
          </w14:textFill>
        </w:rPr>
        <w:t>3、采购单位每月派人到各科室调查洗涤情况 1 次，并由护士长签字，发现问题及时解决， 针对一个问题连续反映两次</w:t>
      </w:r>
      <w:r>
        <w:rPr>
          <w:rFonts w:hint="eastAsia" w:cs="宋体"/>
          <w:color w:val="000000" w:themeColor="text1"/>
          <w:spacing w:val="-2"/>
          <w:sz w:val="21"/>
          <w:szCs w:val="21"/>
          <w14:textFill>
            <w14:solidFill>
              <w14:schemeClr w14:val="tx1"/>
            </w14:solidFill>
          </w14:textFill>
        </w:rPr>
        <w:t>整改不到位</w:t>
      </w:r>
      <w:r>
        <w:rPr>
          <w:rFonts w:hint="eastAsia" w:cs="宋体"/>
          <w:color w:val="000000" w:themeColor="text1"/>
          <w:sz w:val="21"/>
          <w:szCs w:val="21"/>
          <w:lang w:bidi="ar"/>
          <w14:textFill>
            <w14:solidFill>
              <w14:schemeClr w14:val="tx1"/>
            </w14:solidFill>
          </w14:textFill>
        </w:rPr>
        <w:t xml:space="preserve">，供应商应承担违约金200 元。 </w:t>
      </w:r>
    </w:p>
    <w:p w14:paraId="3115B1A2">
      <w:pPr>
        <w:ind w:left="355"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kern w:val="0"/>
          <w:sz w:val="21"/>
          <w:szCs w:val="21"/>
          <w:lang w:bidi="ar"/>
          <w14:textFill>
            <w14:solidFill>
              <w14:schemeClr w14:val="tx1"/>
            </w14:solidFill>
          </w14:textFill>
        </w:rPr>
        <w:t>4、采购单位</w:t>
      </w:r>
      <w:r>
        <w:rPr>
          <w:rFonts w:hint="eastAsia" w:ascii="宋体" w:hAnsi="宋体" w:cs="宋体"/>
          <w:color w:val="000000" w:themeColor="text1"/>
          <w:spacing w:val="-1"/>
          <w:sz w:val="21"/>
          <w:szCs w:val="21"/>
          <w14:textFill>
            <w14:solidFill>
              <w14:schemeClr w14:val="tx1"/>
            </w14:solidFill>
          </w14:textFill>
        </w:rPr>
        <w:t>对</w:t>
      </w:r>
      <w:r>
        <w:rPr>
          <w:rFonts w:hint="eastAsia" w:ascii="宋体" w:hAnsi="宋体" w:cs="宋体"/>
          <w:color w:val="000000" w:themeColor="text1"/>
          <w:kern w:val="0"/>
          <w:sz w:val="21"/>
          <w:szCs w:val="21"/>
          <w:lang w:bidi="ar"/>
          <w14:textFill>
            <w14:solidFill>
              <w14:schemeClr w14:val="tx1"/>
            </w14:solidFill>
          </w14:textFill>
        </w:rPr>
        <w:t>供应商</w:t>
      </w:r>
      <w:r>
        <w:rPr>
          <w:rFonts w:hint="eastAsia" w:ascii="宋体" w:hAnsi="宋体" w:cs="宋体"/>
          <w:color w:val="000000" w:themeColor="text1"/>
          <w:spacing w:val="-1"/>
          <w:sz w:val="21"/>
          <w:szCs w:val="21"/>
          <w14:textFill>
            <w14:solidFill>
              <w14:schemeClr w14:val="tx1"/>
            </w14:solidFill>
          </w14:textFill>
        </w:rPr>
        <w:t>进行不定期的满意度测评，</w:t>
      </w:r>
      <w:r>
        <w:rPr>
          <w:rFonts w:hint="eastAsia" w:ascii="宋体" w:hAnsi="宋体" w:cs="宋体"/>
          <w:color w:val="000000" w:themeColor="text1"/>
          <w:sz w:val="21"/>
          <w:szCs w:val="21"/>
          <w14:textFill>
            <w14:solidFill>
              <w14:schemeClr w14:val="tx1"/>
            </w14:solidFill>
          </w14:textFill>
        </w:rPr>
        <w:t>服务满意度不得低于85%，</w:t>
      </w:r>
      <w:r>
        <w:rPr>
          <w:rFonts w:hint="eastAsia" w:ascii="宋体" w:hAnsi="宋体"/>
          <w:color w:val="000000" w:themeColor="text1"/>
          <w:sz w:val="21"/>
          <w:szCs w:val="21"/>
          <w14:textFill>
            <w14:solidFill>
              <w14:schemeClr w14:val="tx1"/>
            </w14:solidFill>
          </w14:textFill>
        </w:rPr>
        <w:t>满意度为84%—80%，予以500元经济处罚；满意度为79%—75%，予以800元经济处罚；满意度低于75%，予以1200元经济处罚</w:t>
      </w:r>
      <w:r>
        <w:rPr>
          <w:rFonts w:hint="eastAsia" w:ascii="宋体" w:hAnsi="宋体" w:cs="宋体"/>
          <w:color w:val="000000" w:themeColor="text1"/>
          <w:spacing w:val="-1"/>
          <w:sz w:val="21"/>
          <w:szCs w:val="21"/>
          <w14:textFill>
            <w14:solidFill>
              <w14:schemeClr w14:val="tx1"/>
            </w14:solidFill>
          </w14:textFill>
        </w:rPr>
        <w:t>。</w:t>
      </w:r>
    </w:p>
    <w:p w14:paraId="284C71E3">
      <w:pPr>
        <w:ind w:left="355" w:firstLine="416"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pacing w:val="-1"/>
          <w:sz w:val="21"/>
          <w:szCs w:val="21"/>
          <w14:textFill>
            <w14:solidFill>
              <w14:schemeClr w14:val="tx1"/>
            </w14:solidFill>
          </w14:textFill>
        </w:rPr>
        <w:t>5、</w:t>
      </w:r>
      <w:r>
        <w:rPr>
          <w:rFonts w:hint="eastAsia" w:ascii="宋体" w:hAnsi="宋体" w:cs="宋体"/>
          <w:color w:val="000000" w:themeColor="text1"/>
          <w:sz w:val="21"/>
          <w:szCs w:val="21"/>
          <w14:textFill>
            <w14:solidFill>
              <w14:schemeClr w14:val="tx1"/>
            </w14:solidFill>
          </w14:textFill>
        </w:rPr>
        <w:t>如供应商没有按照合同规定或采购单位同意规定的时间提供服务，采购单位可从合同款中扣除违约赔偿费，赔偿费应按每延迟一周，按合同总价的1%计收。但违约赔偿费的最高限额为合同总价的10%。一周按7天计算，不足7天按一周计算。如果供应商在达到最高限额后仍不能履行提供服务的义务，采购单位有权终止合同。</w:t>
      </w:r>
    </w:p>
    <w:p w14:paraId="17B9E9BC">
      <w:pPr>
        <w:ind w:left="355" w:firstLine="422" w:firstLineChars="200"/>
        <w:rPr>
          <w:rFonts w:hint="eastAsia"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（七）其他</w:t>
      </w:r>
    </w:p>
    <w:p w14:paraId="524883B9">
      <w:pPr>
        <w:widowControl/>
        <w:ind w:left="355" w:firstLine="420" w:firstLineChars="200"/>
        <w:rPr>
          <w:rFonts w:hint="eastAsia" w:ascii="宋体" w:hAnsi="宋体" w:cs="宋体"/>
          <w:color w:val="000000" w:themeColor="text1"/>
          <w:kern w:val="0"/>
          <w:sz w:val="21"/>
          <w:szCs w:val="21"/>
          <w:lang w:bidi="ar"/>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w:t>
      </w:r>
      <w:r>
        <w:rPr>
          <w:rFonts w:hint="eastAsia" w:ascii="宋体" w:hAnsi="宋体" w:cs="宋体"/>
          <w:color w:val="000000" w:themeColor="text1"/>
          <w:kern w:val="0"/>
          <w:sz w:val="21"/>
          <w:szCs w:val="21"/>
          <w:lang w:bidi="ar"/>
          <w14:textFill>
            <w14:solidFill>
              <w14:schemeClr w14:val="tx1"/>
            </w14:solidFill>
          </w14:textFill>
        </w:rPr>
        <w:t>洗涤消毒工作中的安全事宜(包括车辆运输的安全、车辆消毒达标及劳资纠纷等)全部由供应商负责，发生任何生产安全事故，均与采购单位无关。</w:t>
      </w:r>
    </w:p>
    <w:p w14:paraId="42F2336A">
      <w:pPr>
        <w:widowControl/>
        <w:ind w:left="440" w:hanging="440"/>
        <w:rPr>
          <w:rFonts w:hint="eastAsia" w:ascii="宋体" w:hAnsi="宋体"/>
          <w:color w:val="000000" w:themeColor="text1"/>
          <w:szCs w:val="24"/>
          <w14:textFill>
            <w14:solidFill>
              <w14:schemeClr w14:val="tx1"/>
            </w14:solidFill>
          </w14:textFill>
        </w:rPr>
      </w:pPr>
    </w:p>
    <w:p w14:paraId="60AB2FDD">
      <w:pPr>
        <w:widowControl/>
        <w:ind w:left="422" w:hanging="422"/>
        <w:rPr>
          <w:rFonts w:hint="eastAsia" w:ascii="宋体" w:hAnsi="宋体"/>
          <w:color w:val="000000" w:themeColor="text1"/>
          <w:szCs w:val="24"/>
          <w14:textFill>
            <w14:solidFill>
              <w14:schemeClr w14:val="tx1"/>
            </w14:solidFill>
          </w14:textFill>
        </w:rPr>
      </w:pPr>
      <w:r>
        <w:rPr>
          <w:rFonts w:hint="eastAsia" w:ascii="宋体"/>
          <w:b/>
          <w:bCs/>
          <w:color w:val="000000" w:themeColor="text1"/>
          <w:sz w:val="21"/>
          <w:szCs w:val="21"/>
          <w14:textFill>
            <w14:solidFill>
              <w14:schemeClr w14:val="tx1"/>
            </w14:solidFill>
          </w14:textFill>
        </w:rPr>
        <w:t>注：</w:t>
      </w:r>
      <w:r>
        <w:rPr>
          <w:rFonts w:hint="eastAsia" w:ascii="宋体" w:hAnsi="宋体"/>
          <w:b/>
          <w:bCs/>
          <w:color w:val="000000" w:themeColor="text1"/>
          <w:sz w:val="21"/>
          <w:szCs w:val="21"/>
          <w14:textFill>
            <w14:solidFill>
              <w14:schemeClr w14:val="tx1"/>
            </w14:solidFill>
          </w14:textFill>
        </w:rPr>
        <w:t>以上商务要求投标人不能负偏离，必须完全响应或正偏离，否则将作为无效标处理。</w:t>
      </w:r>
    </w:p>
    <w:p w14:paraId="6F1F56E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3C1"/>
    <w:rsid w:val="00031783"/>
    <w:rsid w:val="000A4FBC"/>
    <w:rsid w:val="000D4C52"/>
    <w:rsid w:val="00110EAB"/>
    <w:rsid w:val="002F5E67"/>
    <w:rsid w:val="0030560B"/>
    <w:rsid w:val="0038396E"/>
    <w:rsid w:val="00384A09"/>
    <w:rsid w:val="00422F44"/>
    <w:rsid w:val="00674D51"/>
    <w:rsid w:val="006B48EE"/>
    <w:rsid w:val="00723A88"/>
    <w:rsid w:val="007F3A14"/>
    <w:rsid w:val="0081026A"/>
    <w:rsid w:val="008207C3"/>
    <w:rsid w:val="00925C51"/>
    <w:rsid w:val="00996312"/>
    <w:rsid w:val="009C2C66"/>
    <w:rsid w:val="00A45BA3"/>
    <w:rsid w:val="00B66BBD"/>
    <w:rsid w:val="00CA56D0"/>
    <w:rsid w:val="00CC6FCB"/>
    <w:rsid w:val="00D72067"/>
    <w:rsid w:val="00DF2C64"/>
    <w:rsid w:val="00E043C1"/>
    <w:rsid w:val="00ED7ADA"/>
    <w:rsid w:val="00F914D7"/>
    <w:rsid w:val="0C1656DF"/>
    <w:rsid w:val="33C76141"/>
    <w:rsid w:val="53340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500" w:lineRule="exact"/>
    </w:pPr>
    <w:rPr>
      <w:rFonts w:ascii="Times New Roman" w:hAnsi="Times New Roman" w:eastAsia="宋体" w:cs="Times New Roman"/>
      <w:kern w:val="2"/>
      <w:sz w:val="24"/>
      <w:szCs w:val="20"/>
      <w:lang w:val="en-US" w:eastAsia="zh-CN" w:bidi="ar-SA"/>
      <w14:ligatures w14:val="none"/>
    </w:rPr>
  </w:style>
  <w:style w:type="paragraph" w:styleId="3">
    <w:name w:val="heading 1"/>
    <w:next w:val="1"/>
    <w:link w:val="11"/>
    <w:autoRedefine/>
    <w:qFormat/>
    <w:uiPriority w:val="0"/>
    <w:pPr>
      <w:keepNext/>
      <w:spacing w:beforeLines="50" w:afterLines="50" w:line="440" w:lineRule="exact"/>
      <w:jc w:val="center"/>
      <w:outlineLvl w:val="0"/>
    </w:pPr>
    <w:rPr>
      <w:rFonts w:ascii="宋体" w:hAnsi="宋体" w:eastAsia="宋体" w:cs="Times New Roman"/>
      <w:b/>
      <w:bCs/>
      <w:kern w:val="2"/>
      <w:sz w:val="30"/>
      <w:szCs w:val="30"/>
      <w:lang w:val="en-US" w:eastAsia="zh-CN" w:bidi="ar-SA"/>
      <w14:ligatures w14:val="none"/>
    </w:rPr>
  </w:style>
  <w:style w:type="paragraph" w:styleId="2">
    <w:name w:val="heading 2"/>
    <w:basedOn w:val="1"/>
    <w:next w:val="1"/>
    <w:link w:val="12"/>
    <w:autoRedefine/>
    <w:unhideWhenUsed/>
    <w:qFormat/>
    <w:uiPriority w:val="9"/>
    <w:pPr>
      <w:keepNext/>
      <w:keepLines/>
      <w:spacing w:after="120" w:line="460" w:lineRule="exact"/>
      <w:jc w:val="center"/>
      <w:outlineLvl w:val="1"/>
    </w:pPr>
    <w:rPr>
      <w:rFonts w:ascii="宋体" w:hAnsi="宋体" w:cstheme="majorBidi"/>
      <w:b/>
      <w:bCs/>
      <w:szCs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spacing w:line="240" w:lineRule="auto"/>
    </w:pPr>
    <w:rPr>
      <w:rFonts w:asciiTheme="minorHAnsi" w:hAnsiTheme="minorHAnsi" w:eastAsiaTheme="minorEastAsia" w:cstheme="minorBidi"/>
      <w:sz w:val="18"/>
      <w:szCs w:val="18"/>
      <w14:ligatures w14:val="standardContextual"/>
    </w:rPr>
  </w:style>
  <w:style w:type="paragraph" w:styleId="5">
    <w:name w:val="header"/>
    <w:basedOn w:val="1"/>
    <w:link w:val="9"/>
    <w:unhideWhenUsed/>
    <w:qFormat/>
    <w:uiPriority w:val="99"/>
    <w:pPr>
      <w:tabs>
        <w:tab w:val="center" w:pos="4153"/>
        <w:tab w:val="right" w:pos="8306"/>
      </w:tabs>
      <w:snapToGrid w:val="0"/>
      <w:spacing w:line="240" w:lineRule="auto"/>
      <w:jc w:val="center"/>
    </w:pPr>
    <w:rPr>
      <w:rFonts w:asciiTheme="minorHAnsi" w:hAnsiTheme="minorHAnsi" w:eastAsiaTheme="minorEastAsia" w:cstheme="minorBidi"/>
      <w:sz w:val="18"/>
      <w:szCs w:val="18"/>
      <w14:ligatures w14:val="standardContextual"/>
    </w:rPr>
  </w:style>
  <w:style w:type="paragraph" w:styleId="6">
    <w:name w:val="Normal (Web)"/>
    <w:basedOn w:val="1"/>
    <w:autoRedefine/>
    <w:qFormat/>
    <w:uiPriority w:val="99"/>
    <w:pPr>
      <w:widowControl/>
      <w:spacing w:before="100" w:beforeAutospacing="1" w:after="100" w:afterAutospacing="1"/>
    </w:pPr>
    <w:rPr>
      <w:rFonts w:ascii="宋体" w:hAnsi="宋体"/>
      <w:color w:val="000000"/>
      <w:kern w:val="0"/>
      <w:szCs w:val="24"/>
    </w:r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标题 1 字符"/>
    <w:basedOn w:val="8"/>
    <w:link w:val="3"/>
    <w:qFormat/>
    <w:uiPriority w:val="0"/>
    <w:rPr>
      <w:rFonts w:ascii="宋体" w:hAnsi="宋体" w:eastAsia="宋体" w:cs="Times New Roman"/>
      <w:b/>
      <w:bCs/>
      <w:sz w:val="30"/>
      <w:szCs w:val="30"/>
      <w14:ligatures w14:val="none"/>
    </w:rPr>
  </w:style>
  <w:style w:type="character" w:customStyle="1" w:styleId="12">
    <w:name w:val="标题 2 字符"/>
    <w:basedOn w:val="8"/>
    <w:link w:val="2"/>
    <w:qFormat/>
    <w:uiPriority w:val="9"/>
    <w:rPr>
      <w:rFonts w:ascii="宋体" w:hAnsi="宋体" w:eastAsia="宋体" w:cstheme="majorBidi"/>
      <w:b/>
      <w:bCs/>
      <w:sz w:val="24"/>
      <w:szCs w:val="24"/>
      <w14:ligatures w14:val="none"/>
    </w:rPr>
  </w:style>
  <w:style w:type="paragraph" w:customStyle="1" w:styleId="13">
    <w:name w:val="Normal_0"/>
    <w:autoRedefine/>
    <w:qFormat/>
    <w:uiPriority w:val="0"/>
    <w:rPr>
      <w:rFonts w:ascii="Calibri" w:hAnsi="Calibri" w:eastAsia="宋体" w:cs="Times New Roman"/>
      <w:kern w:val="0"/>
      <w:sz w:val="24"/>
      <w:szCs w:val="24"/>
      <w:lang w:val="en-US" w:eastAsia="zh-CN" w:bidi="ar-SA"/>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4772</Words>
  <Characters>4889</Characters>
  <Lines>32</Lines>
  <Paragraphs>9</Paragraphs>
  <TotalTime>0</TotalTime>
  <ScaleCrop>false</ScaleCrop>
  <LinksUpToDate>false</LinksUpToDate>
  <CharactersWithSpaces>4928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2024-12-20T07:39:00Z</dcterms:created>
  <dc:creator>Mr.He</dc:creator>
  <cp:lastModifiedBy>Eureka_LD</cp:lastModifiedBy>
  <dcterms:modified xsi:type="dcterms:W3CDTF">2026-03-26T06:59:54Z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eyJoZGlkIjoiOTE0NTliZDhhOTMyMTYwZjJmZmJjYWY2ZmQwYjQ5OTkiLCJ1c2VySWQiOiIzNTQ2Nzg1NDAifQ==</vt:lpwstr>
  </property>
  <property fmtid="{D5CDD505-2E9C-101B-9397-08002B2CF9AE}" pid="3" name="KSOProductBuildVer">
    <vt:lpwstr>2052-12.1.0.25225</vt:lpwstr>
  </property>
  <property fmtid="{D5CDD505-2E9C-101B-9397-08002B2CF9AE}" pid="4" name="ICV">
    <vt:lpwstr>D576747E17CD4E7CB9DDD8DC07D3018A_12</vt:lpwstr>
  </property>
</Properties>
</file>