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66ACE">
      <w:pPr>
        <w:pStyle w:val="2"/>
        <w:pageBreakBefore w:val="0"/>
        <w:widowControl/>
        <w:numPr>
          <w:ilvl w:val="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0" w:afterLines="0" w:line="360" w:lineRule="auto"/>
        <w:ind w:left="0" w:leftChars="0" w:firstLine="0" w:firstLineChars="0"/>
        <w:jc w:val="center"/>
        <w:rPr>
          <w:rFonts w:hint="default" w:ascii="Arial" w:hAnsi="Arial" w:eastAsia="黑体" w:cs="Arial"/>
          <w:b/>
          <w:snapToGrid w:val="0"/>
          <w:color w:val="000000"/>
          <w:kern w:val="0"/>
          <w:sz w:val="30"/>
          <w:szCs w:val="21"/>
          <w:lang w:val="en-US" w:eastAsia="zh-CN" w:bidi="ar-SA"/>
        </w:rPr>
      </w:pPr>
      <w:r>
        <w:rPr>
          <w:rFonts w:hint="eastAsia" w:cs="Arial"/>
          <w:b/>
          <w:snapToGrid w:val="0"/>
          <w:color w:val="000000"/>
          <w:kern w:val="0"/>
          <w:sz w:val="30"/>
          <w:szCs w:val="21"/>
          <w:lang w:val="en-US" w:eastAsia="zh-CN" w:bidi="ar-SA"/>
        </w:rPr>
        <w:t>检验外送项目采购需求</w:t>
      </w:r>
    </w:p>
    <w:p w14:paraId="6BF722D6">
      <w:pPr>
        <w:pStyle w:val="2"/>
        <w:pageBreakBefore w:val="0"/>
        <w:widowControl/>
        <w:numPr>
          <w:ilvl w:val="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0" w:afterLines="0" w:line="360" w:lineRule="auto"/>
        <w:ind w:left="0" w:leftChars="0" w:firstLine="0" w:firstLineChars="0"/>
        <w:jc w:val="left"/>
        <w:rPr>
          <w:rFonts w:hint="eastAsia"/>
        </w:rPr>
      </w:pPr>
      <w:r>
        <w:rPr>
          <w:rFonts w:hint="eastAsia" w:ascii="Arial" w:hAnsi="Arial" w:eastAsia="黑体" w:cs="Arial"/>
          <w:b/>
          <w:snapToGrid w:val="0"/>
          <w:color w:val="000000"/>
          <w:kern w:val="0"/>
          <w:sz w:val="30"/>
          <w:szCs w:val="21"/>
          <w:lang w:val="en-US" w:eastAsia="en-US" w:bidi="ar-SA"/>
        </w:rPr>
        <w:t>（一）</w:t>
      </w:r>
      <w:r>
        <w:rPr>
          <w:rFonts w:hint="eastAsia"/>
        </w:rPr>
        <w:t>服务需求</w:t>
      </w:r>
    </w:p>
    <w:p w14:paraId="22895FDF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33" w:firstLineChars="100"/>
        <w:jc w:val="left"/>
        <w:rPr>
          <w:rFonts w:hint="eastAsia" w:ascii="黑体" w:hAnsi="黑体" w:eastAsia="黑体" w:cs="黑体"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b/>
          <w:bCs/>
          <w:spacing w:val="-4"/>
          <w:sz w:val="24"/>
          <w:szCs w:val="24"/>
          <w:highlight w:val="none"/>
        </w:rPr>
        <w:t>一、检验</w:t>
      </w:r>
      <w:r>
        <w:rPr>
          <w:rFonts w:hint="eastAsia" w:ascii="黑体" w:hAnsi="黑体" w:eastAsia="黑体" w:cs="黑体"/>
          <w:b/>
          <w:bCs/>
          <w:spacing w:val="-4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黑体" w:hAnsi="黑体" w:eastAsia="黑体" w:cs="黑体"/>
          <w:b/>
          <w:bCs/>
          <w:spacing w:val="-4"/>
          <w:sz w:val="24"/>
          <w:szCs w:val="24"/>
          <w:highlight w:val="none"/>
        </w:rPr>
        <w:t>清单：</w:t>
      </w:r>
    </w:p>
    <w:tbl>
      <w:tblPr>
        <w:tblStyle w:val="4"/>
        <w:tblW w:w="91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4344"/>
        <w:gridCol w:w="3707"/>
      </w:tblGrid>
      <w:tr w14:paraId="52F4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9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14709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上饶市妇幼保健院外送检验项目目录</w:t>
            </w:r>
          </w:p>
        </w:tc>
      </w:tr>
      <w:tr w14:paraId="58C98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2036C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38C6C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测试名称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ED4EE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项目收费（上饶市三级收费标准）</w:t>
            </w:r>
          </w:p>
        </w:tc>
      </w:tr>
      <w:tr w14:paraId="004FA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347AB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0D518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17α-羟孕酮(17-OHP4)测定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46D42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</w:tr>
      <w:tr w14:paraId="132F2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0650B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CB3FF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乙型肝炎病毒DNA(HBV-DNA)检测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FFFAD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</w:tr>
      <w:tr w14:paraId="5D740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358B6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CE60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肿瘤标志物(男/女）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1006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</w:tr>
      <w:tr w14:paraId="479A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6F76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F26E5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药物浓度检测(质谱法)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A106A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</w:tr>
      <w:tr w14:paraId="39A50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E51A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93D5E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胰岛素样生长因子结合蛋白3(IGF-BP3)测定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E62C0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</w:tr>
      <w:tr w14:paraId="51D34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8A389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A005E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结核感染T细胞(TB-IGRA)检测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E27F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</w:tr>
      <w:tr w14:paraId="2BC1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B2DF1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61D3C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EB病毒DNA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D1C6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  <w:tr w14:paraId="5C8E9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333F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0FDE5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EB病毒三项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E0F82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</w:tr>
      <w:tr w14:paraId="0D88E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5E2A3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C7880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尿液有机酸分析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5C7E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</w:tr>
      <w:tr w14:paraId="6DEB3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3E9F7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EC472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贫血四项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65107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  <w:tr w14:paraId="22CC9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EE849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8E2AD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葡萄糖-6-磷酸脱氢酶活性(G-6-PD)检测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F3A1C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</w:tr>
      <w:tr w14:paraId="4C87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56E8B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059A4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人附睾蛋白4(HE4)测定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5AB13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</w:tr>
      <w:tr w14:paraId="4C8EF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051E6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3B2C2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单纯疱疹II型DNA定性测定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8D14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  <w:tr w14:paraId="27A22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7D54C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F17F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人抑制素B测定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152CC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</w:tr>
      <w:tr w14:paraId="0499B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A6C1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BBA0A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血促肾上腺皮质激素(ACTH)测定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0B7CB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47.5</w:t>
            </w:r>
          </w:p>
        </w:tc>
      </w:tr>
      <w:tr w14:paraId="76E07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3509F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162E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血清生长激素测定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DFFC4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</w:tr>
      <w:tr w14:paraId="387B5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51DEA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303CF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血清性激素结合球蛋白测定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867D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</w:tr>
      <w:tr w14:paraId="22599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7D51B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74A29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全血铅(Pb)检测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E6630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</w:tr>
      <w:tr w14:paraId="26E30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1DEE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8BB93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C肽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962C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</w:tr>
      <w:tr w14:paraId="3B3F9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E2454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A4C93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巨细胞病毒DNA（羊水/血液/尿液）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E1660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  <w:tr w14:paraId="29550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40AF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C675E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补体C3/C4测定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9F598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10/10</w:t>
            </w:r>
          </w:p>
        </w:tc>
      </w:tr>
      <w:tr w14:paraId="5405B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A7166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06C87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血管炎四项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A27D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</w:tr>
      <w:tr w14:paraId="7644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DE43C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EE5A9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EV71/CA16及通用型肠道病毒核酸检测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66979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</w:tr>
      <w:tr w14:paraId="7AF4B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A3B0B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41A36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硫酸脱氢表雄酮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6F95E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</w:tr>
      <w:tr w14:paraId="70C4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8EC0D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BC4BA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蛋白C/S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DCD2A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25/25</w:t>
            </w:r>
          </w:p>
        </w:tc>
      </w:tr>
      <w:tr w14:paraId="156E0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42E4A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B1B0A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抗β2糖蛋白1抗体三项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5358A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</w:tr>
      <w:tr w14:paraId="2F708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8BCE7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D1245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抗核抗体谱15项检测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03D33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</w:tr>
      <w:tr w14:paraId="0E146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48A9D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2916A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抗心磷脂抗体3项测定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9A4D6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</w:tr>
      <w:tr w14:paraId="56239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5AA5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8931D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血栓筛查4项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885C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</w:tr>
      <w:tr w14:paraId="6CB1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39A7B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53A46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红细胞叶酸检测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D3A31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</w:tr>
      <w:tr w14:paraId="24924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6CE65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035B1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特检基因类项目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A854F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项目单项标准物价（上饶市三级）</w:t>
            </w:r>
          </w:p>
        </w:tc>
      </w:tr>
      <w:tr w14:paraId="60B31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F46B3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A7584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病原体宏基因(DNA+RNA)测序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EA5B6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5000</w:t>
            </w:r>
          </w:p>
        </w:tc>
      </w:tr>
      <w:tr w14:paraId="0DD75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9FD34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F038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乳腺癌乳腺癌BRCA1/2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2ED06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3800</w:t>
            </w:r>
          </w:p>
        </w:tc>
      </w:tr>
      <w:tr w14:paraId="708F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518CE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296FF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子宫内膜癌基因甲基化检测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A2599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800</w:t>
            </w:r>
          </w:p>
        </w:tc>
      </w:tr>
      <w:tr w14:paraId="2EDE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53E91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FCB9B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全外显子组测序(WES)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9FF29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4200</w:t>
            </w:r>
          </w:p>
        </w:tc>
      </w:tr>
      <w:tr w14:paraId="2FD0A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A7BE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C8EEA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HER2基因扩增检测(组织)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6C93D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2000</w:t>
            </w:r>
          </w:p>
        </w:tc>
      </w:tr>
      <w:tr w14:paraId="29CE9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97211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E9C32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遗传病基因检测NGS套餐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A4D8A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3600</w:t>
            </w:r>
          </w:p>
        </w:tc>
      </w:tr>
      <w:tr w14:paraId="06F07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18318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552D4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单基因遗传病组合版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481DB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1600</w:t>
            </w:r>
          </w:p>
        </w:tc>
      </w:tr>
      <w:tr w14:paraId="3C592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4FE86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525D8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葡萄糖-6磷酸脱氢缺乏症G6PD基因检测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C258C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1600</w:t>
            </w:r>
          </w:p>
        </w:tc>
      </w:tr>
      <w:tr w14:paraId="5BA1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7FBFD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00CAB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易栓症基因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770EE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</w:tr>
      <w:tr w14:paraId="01F1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E4D53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FF483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自身免疫性脑膜炎6项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54B72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1120</w:t>
            </w:r>
          </w:p>
        </w:tc>
      </w:tr>
      <w:tr w14:paraId="563F2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3B4EE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AC7C9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Y染色体AZF微缺失检测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30C95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</w:tr>
    </w:tbl>
    <w:p w14:paraId="6C9E92EB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/>
          <w:bCs/>
          <w:spacing w:val="-8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-8"/>
          <w:sz w:val="24"/>
          <w:szCs w:val="24"/>
        </w:rPr>
        <w:t>二、检测相关要求：</w:t>
      </w:r>
    </w:p>
    <w:p w14:paraId="200382E3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1、如供应商的检验项目、收费标准、检测报告交付时间等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事项发生变更时，应在24</w:t>
      </w:r>
      <w:r>
        <w:rPr>
          <w:rFonts w:hint="eastAsia" w:ascii="黑体" w:hAnsi="黑体" w:eastAsia="黑体" w:cs="黑体"/>
          <w:spacing w:val="-5"/>
          <w:sz w:val="24"/>
          <w:szCs w:val="24"/>
        </w:rPr>
        <w:t>小时内采购人报告变更内容。</w:t>
      </w:r>
    </w:p>
    <w:p w14:paraId="3BE7116C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-7"/>
          <w:sz w:val="24"/>
          <w:szCs w:val="24"/>
        </w:rPr>
        <w:t>2、检测样本</w:t>
      </w:r>
    </w:p>
    <w:p w14:paraId="0A2DCAE5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7"/>
          <w:sz w:val="24"/>
          <w:szCs w:val="24"/>
        </w:rPr>
        <w:t>2.1 样本的收集：</w:t>
      </w:r>
    </w:p>
    <w:p w14:paraId="04D269DA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244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2.2 样本的交付：采购人将样本统一存放在双方约定的地点，供应商须安排专员与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采购人进行样本交接签收工作。</w:t>
      </w:r>
    </w:p>
    <w:p w14:paraId="453B936A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pacing w:val="-4"/>
          <w:sz w:val="24"/>
          <w:szCs w:val="24"/>
        </w:rPr>
      </w:pPr>
      <w:r>
        <w:rPr>
          <w:rFonts w:hint="eastAsia" w:ascii="黑体" w:hAnsi="黑体" w:eastAsia="黑体" w:cs="黑体"/>
          <w:spacing w:val="-4"/>
          <w:sz w:val="24"/>
          <w:szCs w:val="24"/>
        </w:rPr>
        <w:t>2.3 样本的保存期：供应商应当按照国家及行业标准对样本进行保存。检验类原始样</w:t>
      </w:r>
    </w:p>
    <w:p w14:paraId="5B8594C9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pacing w:val="-1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本保存不少于 7 天。由于样本本身特性达不到保存期限</w:t>
      </w:r>
      <w:r>
        <w:rPr>
          <w:rFonts w:hint="eastAsia" w:ascii="黑体" w:hAnsi="黑体" w:eastAsia="黑体" w:cs="黑体"/>
          <w:spacing w:val="-1"/>
          <w:sz w:val="24"/>
          <w:szCs w:val="24"/>
        </w:rPr>
        <w:t>或保存无意义的，另行约定。</w:t>
      </w:r>
    </w:p>
    <w:p w14:paraId="1FAA69DC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由于样本本身特性不能达到此保存期限，或按照此期限进行样本保存无意义时，不适用本保</w:t>
      </w:r>
      <w:r>
        <w:rPr>
          <w:rFonts w:hint="eastAsia" w:ascii="黑体" w:hAnsi="黑体" w:eastAsia="黑体" w:cs="黑体"/>
          <w:spacing w:val="-5"/>
          <w:sz w:val="24"/>
          <w:szCs w:val="24"/>
        </w:rPr>
        <w:t>存期限的规定。</w:t>
      </w:r>
    </w:p>
    <w:p w14:paraId="17B93C76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-7"/>
          <w:sz w:val="24"/>
          <w:szCs w:val="24"/>
        </w:rPr>
        <w:t>3.标本接收</w:t>
      </w:r>
    </w:p>
    <w:p w14:paraId="5BB2B4E4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5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3.1必须配置专用保温箱，保温箱必须有相应的温度记录表，每周至少一次的清洁消</w:t>
      </w:r>
      <w:r>
        <w:rPr>
          <w:rFonts w:hint="eastAsia" w:ascii="黑体" w:hAnsi="黑体" w:eastAsia="黑体" w:cs="黑体"/>
          <w:spacing w:val="-6"/>
          <w:sz w:val="24"/>
          <w:szCs w:val="24"/>
        </w:rPr>
        <w:t>毒，保证标本的质量。</w:t>
      </w:r>
    </w:p>
    <w:p w14:paraId="2D56AF1B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89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6"/>
          <w:sz w:val="24"/>
          <w:szCs w:val="24"/>
        </w:rPr>
        <w:t>3.2每日上门接收标本的服务，</w:t>
      </w:r>
      <w:r>
        <w:rPr>
          <w:rFonts w:hint="eastAsia" w:ascii="黑体" w:hAnsi="黑体" w:eastAsia="黑体" w:cs="黑体"/>
          <w:b/>
          <w:bCs/>
          <w:spacing w:val="-6"/>
          <w:sz w:val="24"/>
          <w:szCs w:val="24"/>
          <w:highlight w:val="none"/>
        </w:rPr>
        <w:t>时间为</w:t>
      </w:r>
      <w:r>
        <w:rPr>
          <w:rFonts w:hint="eastAsia" w:ascii="黑体" w:hAnsi="黑体" w:eastAsia="黑体" w:cs="黑体"/>
          <w:spacing w:val="-37"/>
          <w:sz w:val="24"/>
          <w:szCs w:val="24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bCs/>
          <w:spacing w:val="-6"/>
          <w:sz w:val="24"/>
          <w:szCs w:val="24"/>
          <w:highlight w:val="none"/>
        </w:rPr>
        <w:t>8</w:t>
      </w:r>
      <w:r>
        <w:rPr>
          <w:rFonts w:hint="eastAsia" w:ascii="黑体" w:hAnsi="黑体" w:eastAsia="黑体" w:cs="黑体"/>
          <w:spacing w:val="-6"/>
          <w:sz w:val="24"/>
          <w:szCs w:val="24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bCs/>
          <w:spacing w:val="-7"/>
          <w:sz w:val="24"/>
          <w:szCs w:val="24"/>
          <w:highlight w:val="none"/>
        </w:rPr>
        <w:t>：00</w:t>
      </w:r>
      <w:r>
        <w:rPr>
          <w:rFonts w:hint="eastAsia" w:ascii="黑体" w:hAnsi="黑体" w:eastAsia="黑体" w:cs="黑体"/>
          <w:spacing w:val="-7"/>
          <w:sz w:val="24"/>
          <w:szCs w:val="24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bCs/>
          <w:spacing w:val="-7"/>
          <w:sz w:val="24"/>
          <w:szCs w:val="24"/>
          <w:highlight w:val="none"/>
        </w:rPr>
        <w:t>至</w:t>
      </w:r>
      <w:r>
        <w:rPr>
          <w:rFonts w:hint="eastAsia" w:ascii="黑体" w:hAnsi="黑体" w:eastAsia="黑体" w:cs="黑体"/>
          <w:spacing w:val="-7"/>
          <w:sz w:val="24"/>
          <w:szCs w:val="24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bCs/>
          <w:spacing w:val="-7"/>
          <w:sz w:val="24"/>
          <w:szCs w:val="24"/>
          <w:highlight w:val="none"/>
        </w:rPr>
        <w:t>l7</w:t>
      </w:r>
      <w:r>
        <w:rPr>
          <w:rFonts w:hint="eastAsia" w:ascii="黑体" w:hAnsi="黑体" w:eastAsia="黑体" w:cs="黑体"/>
          <w:spacing w:val="-7"/>
          <w:sz w:val="24"/>
          <w:szCs w:val="24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bCs/>
          <w:spacing w:val="-7"/>
          <w:sz w:val="24"/>
          <w:szCs w:val="24"/>
          <w:highlight w:val="none"/>
        </w:rPr>
        <w:t>：30</w:t>
      </w:r>
      <w:r>
        <w:rPr>
          <w:rFonts w:hint="eastAsia" w:ascii="黑体" w:hAnsi="黑体" w:eastAsia="黑体" w:cs="黑体"/>
          <w:spacing w:val="-7"/>
          <w:sz w:val="24"/>
          <w:szCs w:val="24"/>
        </w:rPr>
        <w:t>。遇特殊标本须按采购人要</w:t>
      </w:r>
      <w:r>
        <w:rPr>
          <w:rFonts w:hint="eastAsia" w:ascii="黑体" w:hAnsi="黑体" w:eastAsia="黑体" w:cs="黑体"/>
          <w:spacing w:val="-5"/>
          <w:sz w:val="24"/>
          <w:szCs w:val="24"/>
        </w:rPr>
        <w:t>求收取。</w:t>
      </w:r>
    </w:p>
    <w:p w14:paraId="77C2BF22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5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3.3规范标本接收、登记和包装流程，保证标本质量和安全，确保标本顺利交接，方</w:t>
      </w:r>
      <w:r>
        <w:rPr>
          <w:rFonts w:hint="eastAsia" w:ascii="黑体" w:hAnsi="黑体" w:eastAsia="黑体" w:cs="黑体"/>
          <w:spacing w:val="-8"/>
          <w:sz w:val="24"/>
          <w:szCs w:val="24"/>
        </w:rPr>
        <w:t>便查核。</w:t>
      </w:r>
    </w:p>
    <w:p w14:paraId="70FC3897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2"/>
          <w:sz w:val="24"/>
          <w:szCs w:val="24"/>
        </w:rPr>
        <w:t>3.4标本接收人员负责标本质量的初检、标识的核对标本的接收登记及包装储存。</w:t>
      </w:r>
    </w:p>
    <w:p w14:paraId="5932D9C9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-9"/>
          <w:sz w:val="24"/>
          <w:szCs w:val="24"/>
        </w:rPr>
        <w:t>4、结果及时：</w:t>
      </w:r>
    </w:p>
    <w:p w14:paraId="0BAAF88B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" w:firstLine="477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为保证检验结果实时网络传送，实现实验室数据的汇总、储存、传输功能，可以与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医院</w:t>
      </w:r>
      <w:r>
        <w:rPr>
          <w:rFonts w:hint="eastAsia" w:ascii="黑体" w:hAnsi="黑体" w:eastAsia="黑体" w:cs="黑体"/>
          <w:spacing w:val="-38"/>
          <w:sz w:val="24"/>
          <w:szCs w:val="24"/>
        </w:rPr>
        <w:t xml:space="preserve"> 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LIS 和</w:t>
      </w:r>
      <w:r>
        <w:rPr>
          <w:rFonts w:hint="eastAsia" w:ascii="黑体" w:hAnsi="黑体" w:eastAsia="黑体" w:cs="黑体"/>
          <w:spacing w:val="-53"/>
          <w:sz w:val="24"/>
          <w:szCs w:val="24"/>
        </w:rPr>
        <w:t xml:space="preserve"> 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HIS 系统对接，使医务人员可以随时调阅，保证病人的资料的准确性和检验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结果的及时性，并提供系统使用的必要培训与技术支持。</w:t>
      </w:r>
    </w:p>
    <w:p w14:paraId="5BA613BA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-10"/>
          <w:sz w:val="24"/>
          <w:szCs w:val="24"/>
        </w:rPr>
        <w:t>5、结果查询：</w:t>
      </w:r>
    </w:p>
    <w:p w14:paraId="07300636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4"/>
          <w:sz w:val="24"/>
          <w:szCs w:val="24"/>
        </w:rPr>
        <w:t>5.1提供网上查询账号以供随时查询进度和结果。</w:t>
      </w:r>
    </w:p>
    <w:p w14:paraId="1CF7DC86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49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1"/>
          <w:sz w:val="24"/>
          <w:szCs w:val="24"/>
        </w:rPr>
        <w:t>5.2提供随时服务电话，危急值班专人电话跟进，确保患者检测信息与临床</w:t>
      </w:r>
      <w:r>
        <w:rPr>
          <w:rFonts w:hint="eastAsia" w:ascii="黑体" w:hAnsi="黑体" w:eastAsia="黑体" w:cs="黑体"/>
          <w:sz w:val="24"/>
          <w:szCs w:val="24"/>
        </w:rPr>
        <w:t>医生的</w:t>
      </w:r>
      <w:r>
        <w:rPr>
          <w:rFonts w:hint="eastAsia" w:ascii="黑体" w:hAnsi="黑体" w:eastAsia="黑体" w:cs="黑体"/>
          <w:spacing w:val="-7"/>
          <w:sz w:val="24"/>
          <w:szCs w:val="24"/>
        </w:rPr>
        <w:t>畅通。</w:t>
      </w:r>
    </w:p>
    <w:p w14:paraId="6622655B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-8"/>
          <w:sz w:val="24"/>
          <w:szCs w:val="24"/>
        </w:rPr>
        <w:t>6、检测报告</w:t>
      </w:r>
    </w:p>
    <w:p w14:paraId="0DE1203F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3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6.1 检验报告由有法定资质的中级以上检验医师签发，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并提供相关的指导服务。</w:t>
      </w:r>
    </w:p>
    <w:p w14:paraId="6460AF9A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4"/>
          <w:sz w:val="24"/>
          <w:szCs w:val="24"/>
        </w:rPr>
        <w:t>6.2 检测报告的交付时间：</w:t>
      </w:r>
      <w:r>
        <w:rPr>
          <w:rFonts w:hint="eastAsia" w:ascii="黑体" w:hAnsi="黑体" w:eastAsia="黑体" w:cs="黑体"/>
          <w:spacing w:val="-4"/>
          <w:sz w:val="24"/>
          <w:szCs w:val="24"/>
          <w:lang w:val="en-US" w:eastAsia="zh-CN"/>
        </w:rPr>
        <w:t>中标后</w:t>
      </w:r>
      <w:r>
        <w:rPr>
          <w:rFonts w:hint="eastAsia" w:ascii="黑体" w:hAnsi="黑体" w:eastAsia="黑体" w:cs="黑体"/>
          <w:spacing w:val="-4"/>
          <w:sz w:val="24"/>
          <w:szCs w:val="24"/>
        </w:rPr>
        <w:t>由双方协商另行约定。</w:t>
      </w:r>
    </w:p>
    <w:p w14:paraId="09C00322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72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6.3 如供应商未能在约定的时间交付报告的，应以书面或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电话的形式24小时内通知</w:t>
      </w:r>
      <w:r>
        <w:rPr>
          <w:rFonts w:hint="eastAsia" w:ascii="黑体" w:hAnsi="黑体" w:eastAsia="黑体" w:cs="黑体"/>
          <w:spacing w:val="-5"/>
          <w:sz w:val="24"/>
          <w:szCs w:val="24"/>
        </w:rPr>
        <w:t>采购人。</w:t>
      </w:r>
    </w:p>
    <w:p w14:paraId="5C211491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2"/>
          <w:sz w:val="24"/>
          <w:szCs w:val="24"/>
        </w:rPr>
        <w:t>6.4 如采购人对供应商出具的检测结果有异议的，按规定的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样本保存期内提出。</w:t>
      </w:r>
    </w:p>
    <w:p w14:paraId="424C5856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-7"/>
          <w:sz w:val="24"/>
          <w:szCs w:val="24"/>
        </w:rPr>
        <w:t>7.其他要求</w:t>
      </w:r>
    </w:p>
    <w:p w14:paraId="0720A147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8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7.1 投标人实验室符合国家卫健委《医疗机构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临床实验室管理办法》等法律法规要</w:t>
      </w:r>
      <w:r>
        <w:rPr>
          <w:rFonts w:hint="eastAsia" w:ascii="黑体" w:hAnsi="黑体" w:eastAsia="黑体" w:cs="黑体"/>
          <w:spacing w:val="-6"/>
          <w:sz w:val="24"/>
          <w:szCs w:val="24"/>
        </w:rPr>
        <w:t>求；</w:t>
      </w:r>
    </w:p>
    <w:p w14:paraId="7CECE5F0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2"/>
          <w:sz w:val="24"/>
          <w:szCs w:val="24"/>
        </w:rPr>
        <w:t>7.2 投标人需按国家检测规范进行操作，并对标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本的检测报告承担相应的责任；</w:t>
      </w:r>
    </w:p>
    <w:p w14:paraId="146E1236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2"/>
          <w:sz w:val="24"/>
          <w:szCs w:val="24"/>
        </w:rPr>
        <w:t>7.3 投标人检验实验室需拥有专业的检验技术人员，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可提供专业的医学检验服务；</w:t>
      </w:r>
    </w:p>
    <w:p w14:paraId="32792B1C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2"/>
          <w:sz w:val="24"/>
          <w:szCs w:val="24"/>
        </w:rPr>
        <w:t>7.</w:t>
      </w:r>
      <w:r>
        <w:rPr>
          <w:rFonts w:hint="eastAsia" w:ascii="黑体" w:hAnsi="黑体" w:eastAsia="黑体" w:cs="黑体"/>
          <w:spacing w:val="-2"/>
          <w:sz w:val="24"/>
          <w:szCs w:val="24"/>
          <w:lang w:val="en-US" w:eastAsia="zh-CN"/>
        </w:rPr>
        <w:t>4</w:t>
      </w:r>
      <w:r>
        <w:rPr>
          <w:rFonts w:hint="eastAsia" w:ascii="黑体" w:hAnsi="黑体" w:eastAsia="黑体" w:cs="黑体"/>
          <w:spacing w:val="-2"/>
          <w:sz w:val="24"/>
          <w:szCs w:val="24"/>
        </w:rPr>
        <w:t xml:space="preserve"> 投标人实验室所产生的医疗废物和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污水必须按照环保规范处置。</w:t>
      </w:r>
    </w:p>
    <w:p w14:paraId="5F3F12BB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2"/>
          <w:sz w:val="24"/>
          <w:szCs w:val="24"/>
        </w:rPr>
        <w:t>7.</w:t>
      </w:r>
      <w:r>
        <w:rPr>
          <w:rFonts w:hint="eastAsia" w:ascii="黑体" w:hAnsi="黑体" w:eastAsia="黑体" w:cs="黑体"/>
          <w:spacing w:val="-2"/>
          <w:sz w:val="24"/>
          <w:szCs w:val="24"/>
          <w:lang w:val="en-US" w:eastAsia="zh-CN"/>
        </w:rPr>
        <w:t>4</w:t>
      </w:r>
      <w:r>
        <w:rPr>
          <w:rFonts w:hint="eastAsia" w:ascii="黑体" w:hAnsi="黑体" w:eastAsia="黑体" w:cs="黑体"/>
          <w:spacing w:val="-2"/>
          <w:sz w:val="24"/>
          <w:szCs w:val="24"/>
        </w:rPr>
        <w:t xml:space="preserve"> 投标人实验室所产生的医疗废物和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污水必须按照环保规范处置。</w:t>
      </w:r>
    </w:p>
    <w:p w14:paraId="3E7DBDE3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2"/>
          <w:sz w:val="24"/>
          <w:szCs w:val="24"/>
        </w:rPr>
        <w:t>7.</w:t>
      </w:r>
      <w:r>
        <w:rPr>
          <w:rFonts w:hint="eastAsia" w:ascii="黑体" w:hAnsi="黑体" w:eastAsia="黑体" w:cs="黑体"/>
          <w:spacing w:val="-2"/>
          <w:sz w:val="24"/>
          <w:szCs w:val="24"/>
          <w:lang w:val="en-US" w:eastAsia="zh-CN"/>
        </w:rPr>
        <w:t>5</w:t>
      </w:r>
      <w:r>
        <w:rPr>
          <w:rFonts w:hint="eastAsia" w:ascii="黑体" w:hAnsi="黑体" w:eastAsia="黑体" w:cs="黑体"/>
          <w:spacing w:val="-2"/>
          <w:sz w:val="24"/>
          <w:szCs w:val="24"/>
        </w:rPr>
        <w:t xml:space="preserve"> 投标人需做好本项目的风险评估，本招</w:t>
      </w:r>
      <w:r>
        <w:rPr>
          <w:rFonts w:hint="eastAsia" w:ascii="黑体" w:hAnsi="黑体" w:eastAsia="黑体" w:cs="黑体"/>
          <w:spacing w:val="-3"/>
          <w:sz w:val="24"/>
          <w:szCs w:val="24"/>
        </w:rPr>
        <w:t>标项目经营方式为自负盈亏。</w:t>
      </w:r>
    </w:p>
    <w:p w14:paraId="2A88CCEF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9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7.</w:t>
      </w:r>
      <w:r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  <w:t>6</w:t>
      </w:r>
      <w:r>
        <w:rPr>
          <w:rFonts w:hint="eastAsia" w:ascii="黑体" w:hAnsi="黑体" w:eastAsia="黑体" w:cs="黑体"/>
          <w:spacing w:val="-1"/>
          <w:sz w:val="24"/>
          <w:szCs w:val="24"/>
        </w:rPr>
        <w:t xml:space="preserve"> 投标人配备完善医疗物流系统，保证标本接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收、送检运输过程的安全与规范，</w:t>
      </w:r>
      <w:r>
        <w:rPr>
          <w:rFonts w:hint="eastAsia" w:ascii="黑体" w:hAnsi="黑体" w:eastAsia="黑体" w:cs="黑体"/>
          <w:sz w:val="24"/>
          <w:szCs w:val="24"/>
        </w:rPr>
        <w:t>保证标本的检测前质量。标本运输须要求直立</w:t>
      </w:r>
      <w:r>
        <w:rPr>
          <w:rFonts w:hint="eastAsia" w:ascii="黑体" w:hAnsi="黑体" w:eastAsia="黑体" w:cs="黑体"/>
          <w:spacing w:val="-1"/>
          <w:sz w:val="24"/>
          <w:szCs w:val="24"/>
        </w:rPr>
        <w:t>、冷藏、封闭，符合生物安全要求，确保</w:t>
      </w:r>
      <w:r>
        <w:rPr>
          <w:rFonts w:hint="eastAsia" w:ascii="黑体" w:hAnsi="黑体" w:eastAsia="黑体" w:cs="黑体"/>
          <w:sz w:val="24"/>
          <w:szCs w:val="24"/>
        </w:rPr>
        <w:t>运输过程的样品质量和环境安全。对于需低温</w:t>
      </w:r>
      <w:r>
        <w:rPr>
          <w:rFonts w:hint="eastAsia" w:ascii="黑体" w:hAnsi="黑体" w:eastAsia="黑体" w:cs="黑体"/>
          <w:spacing w:val="-1"/>
          <w:sz w:val="24"/>
          <w:szCs w:val="24"/>
        </w:rPr>
        <w:t>冷冻或有特殊要求的样本视具体项目与采</w:t>
      </w:r>
      <w:r>
        <w:rPr>
          <w:rFonts w:hint="eastAsia" w:ascii="黑体" w:hAnsi="黑体" w:eastAsia="黑体" w:cs="黑体"/>
          <w:spacing w:val="-4"/>
          <w:sz w:val="24"/>
          <w:szCs w:val="24"/>
        </w:rPr>
        <w:t>购人检验科、病理科商定。</w:t>
      </w:r>
    </w:p>
    <w:p w14:paraId="02AA343C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3"/>
          <w:sz w:val="24"/>
          <w:szCs w:val="24"/>
        </w:rPr>
        <w:t>7.8 未经采购人同意，不得将采购人标本用于他用。</w:t>
      </w:r>
    </w:p>
    <w:p w14:paraId="7C1AB639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8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7.9 有为用户保密的义务，未经同意不得向第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三方泄露委托检验的项目、检验的内</w:t>
      </w:r>
      <w:r>
        <w:rPr>
          <w:rFonts w:hint="eastAsia" w:ascii="黑体" w:hAnsi="黑体" w:eastAsia="黑体" w:cs="黑体"/>
          <w:spacing w:val="-7"/>
          <w:sz w:val="24"/>
          <w:szCs w:val="24"/>
        </w:rPr>
        <w:t>容、检验的结果。</w:t>
      </w:r>
    </w:p>
    <w:p w14:paraId="14E6DAE5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51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3"/>
          <w:sz w:val="24"/>
          <w:szCs w:val="24"/>
        </w:rPr>
        <w:t>7.10 检测样本、检测数据的所有权、使用权为用户所有，未经许可不得挪作它用。能够按照国家、用户要求妥善保存及销毁检验后样本。</w:t>
      </w:r>
    </w:p>
    <w:p w14:paraId="7F9054A6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7.11 投标人必须保证检验结果的公正性，不受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任何诱使或压力的对检验结果进行修</w:t>
      </w:r>
      <w:r>
        <w:rPr>
          <w:rFonts w:hint="eastAsia" w:ascii="黑体" w:hAnsi="黑体" w:eastAsia="黑体" w:cs="黑体"/>
          <w:spacing w:val="-8"/>
          <w:sz w:val="24"/>
          <w:szCs w:val="24"/>
        </w:rPr>
        <w:t>正及更改。</w:t>
      </w:r>
    </w:p>
    <w:p w14:paraId="1315ED76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3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pacing w:val="-1"/>
          <w:sz w:val="24"/>
          <w:szCs w:val="24"/>
        </w:rPr>
        <w:t>7.12 如采购人对检测结果有异议，无</w:t>
      </w:r>
      <w:r>
        <w:rPr>
          <w:rFonts w:hint="eastAsia" w:ascii="黑体" w:hAnsi="黑体" w:eastAsia="黑体" w:cs="黑体"/>
          <w:spacing w:val="-2"/>
          <w:sz w:val="24"/>
          <w:szCs w:val="24"/>
        </w:rPr>
        <w:t>论样本是否在有效期内，供应商均应无条件免</w:t>
      </w:r>
      <w:r>
        <w:rPr>
          <w:rFonts w:hint="eastAsia" w:ascii="黑体" w:hAnsi="黑体" w:eastAsia="黑体" w:cs="黑体"/>
          <w:spacing w:val="-6"/>
          <w:sz w:val="24"/>
          <w:szCs w:val="24"/>
        </w:rPr>
        <w:t>费重新检测，样本超过有效期的，采购人应按规范重新采样。</w:t>
      </w:r>
    </w:p>
    <w:p w14:paraId="462800CA">
      <w:pPr>
        <w:pStyle w:val="3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spacing w:val="-3"/>
          <w:sz w:val="24"/>
          <w:szCs w:val="24"/>
        </w:rPr>
      </w:pPr>
      <w:r>
        <w:rPr>
          <w:rFonts w:hint="eastAsia" w:ascii="黑体" w:hAnsi="黑体" w:eastAsia="黑体" w:cs="黑体"/>
          <w:spacing w:val="-3"/>
          <w:sz w:val="24"/>
          <w:szCs w:val="24"/>
        </w:rPr>
        <w:t>7.13为保证本项目的标本运输质量，投标人应配备专业运输车辆、保温箱等设备。</w:t>
      </w:r>
    </w:p>
    <w:p w14:paraId="0D9BA1BE">
      <w:r>
        <w:rPr>
          <w:rFonts w:hint="eastAsia" w:ascii="黑体" w:hAnsi="黑体" w:eastAsia="黑体" w:cs="黑体"/>
          <w:b w:val="0"/>
          <w:bCs w:val="0"/>
          <w:color w:val="000000" w:themeColor="text1"/>
          <w:spacing w:val="-3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7.14中标人应做好项目室内质控，并参加室间质评，将室间质评证书提交至医院备案。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1F604E"/>
    <w:multiLevelType w:val="multilevel"/>
    <w:tmpl w:val="561F604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84D4D"/>
    <w:rsid w:val="3E1E1AF9"/>
    <w:rsid w:val="3F08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2026-10-08T01:53:00Z</dcterms:created>
  <dc:creator>Administrator</dc:creator>
  <cp:lastModifiedBy>Administrator</cp:lastModifiedBy>
  <dcterms:modified xsi:type="dcterms:W3CDTF">2026-10-08T01:56:40Z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80D6B98460BC4C68BC4BA0214067D968_11</vt:lpwstr>
  </property>
  <property fmtid="{D5CDD505-2E9C-101B-9397-08002B2CF9AE}" pid="4" name="KSOTemplateDocerSaveRecord">
    <vt:lpwstr>eyJoZGlkIjoiN2RiNGNkMDM1MDlkMTMwODQzODI1Nzc2MzRiNjU3YTkiLCJ1c2VySWQiOiIyMTk4OTQzNjcifQ==</vt:lpwstr>
  </property>
</Properties>
</file>